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asciiTheme="minorEastAsia" w:hAnsiTheme="minorEastAsia" w:eastAsiaTheme="minorEastAsia"/>
          <w:b/>
          <w:bCs/>
          <w:color w:val="000000"/>
          <w:sz w:val="84"/>
          <w:szCs w:val="84"/>
        </w:rPr>
      </w:pPr>
    </w:p>
    <w:p>
      <w:pPr>
        <w:jc w:val="center"/>
        <w:rPr>
          <w:rFonts w:hint="eastAsia" w:asciiTheme="minorEastAsia" w:hAnsiTheme="minorEastAsia" w:eastAsiaTheme="minorEastAsia"/>
          <w:b/>
          <w:bCs/>
          <w:color w:val="000000"/>
          <w:sz w:val="84"/>
          <w:szCs w:val="84"/>
          <w:lang w:val="en-US" w:eastAsia="zh-CN"/>
        </w:rPr>
      </w:pPr>
      <w:r>
        <w:rPr>
          <w:rFonts w:hint="eastAsia" w:cs="宋体" w:asciiTheme="minorEastAsia" w:hAnsiTheme="minorEastAsia" w:eastAsiaTheme="minorEastAsia"/>
          <w:b/>
          <w:bCs/>
          <w:color w:val="000000"/>
          <w:sz w:val="84"/>
          <w:szCs w:val="84"/>
        </w:rPr>
        <w:t>招标</w:t>
      </w:r>
      <w:r>
        <w:rPr>
          <w:rFonts w:hint="eastAsia" w:cs="宋体" w:asciiTheme="minorEastAsia" w:hAnsiTheme="minorEastAsia" w:eastAsiaTheme="minorEastAsia"/>
          <w:b/>
          <w:bCs/>
          <w:color w:val="000000"/>
          <w:sz w:val="84"/>
          <w:szCs w:val="84"/>
          <w:lang w:val="en-US" w:eastAsia="zh-CN"/>
        </w:rPr>
        <w:t>公告</w:t>
      </w:r>
    </w:p>
    <w:p>
      <w:pPr>
        <w:autoSpaceDE w:val="0"/>
        <w:autoSpaceDN w:val="0"/>
        <w:adjustRightInd w:val="0"/>
        <w:spacing w:line="360" w:lineRule="auto"/>
        <w:rPr>
          <w:rFonts w:asciiTheme="minorEastAsia" w:hAnsiTheme="minorEastAsia" w:eastAsiaTheme="minorEastAsia"/>
          <w:b/>
          <w:bCs/>
          <w:color w:val="000000"/>
          <w:sz w:val="30"/>
          <w:szCs w:val="30"/>
        </w:rPr>
      </w:pPr>
    </w:p>
    <w:p>
      <w:pPr>
        <w:autoSpaceDE w:val="0"/>
        <w:autoSpaceDN w:val="0"/>
        <w:adjustRightInd w:val="0"/>
        <w:spacing w:line="360" w:lineRule="auto"/>
        <w:rPr>
          <w:rFonts w:asciiTheme="minorEastAsia" w:hAnsiTheme="minorEastAsia" w:eastAsiaTheme="minorEastAsia"/>
          <w:b/>
          <w:bCs/>
          <w:color w:val="000000"/>
          <w:sz w:val="30"/>
          <w:szCs w:val="30"/>
        </w:rPr>
      </w:pPr>
    </w:p>
    <w:p>
      <w:pPr>
        <w:autoSpaceDE w:val="0"/>
        <w:autoSpaceDN w:val="0"/>
        <w:adjustRightInd w:val="0"/>
        <w:spacing w:line="360" w:lineRule="auto"/>
        <w:rPr>
          <w:rFonts w:asciiTheme="minorEastAsia" w:hAnsiTheme="minorEastAsia" w:eastAsiaTheme="minorEastAsia"/>
          <w:b/>
          <w:bCs/>
          <w:color w:val="000000"/>
          <w:sz w:val="30"/>
          <w:szCs w:val="30"/>
        </w:rPr>
      </w:pPr>
    </w:p>
    <w:p>
      <w:pPr>
        <w:autoSpaceDE w:val="0"/>
        <w:autoSpaceDN w:val="0"/>
        <w:adjustRightInd w:val="0"/>
        <w:spacing w:line="360" w:lineRule="auto"/>
        <w:rPr>
          <w:rFonts w:asciiTheme="minorEastAsia" w:hAnsiTheme="minorEastAsia" w:eastAsiaTheme="minorEastAsia"/>
          <w:b/>
          <w:bCs/>
          <w:color w:val="000000"/>
          <w:sz w:val="30"/>
          <w:szCs w:val="30"/>
        </w:rPr>
      </w:pPr>
    </w:p>
    <w:p>
      <w:pPr>
        <w:autoSpaceDE w:val="0"/>
        <w:autoSpaceDN w:val="0"/>
        <w:adjustRightInd w:val="0"/>
        <w:spacing w:line="360" w:lineRule="auto"/>
        <w:rPr>
          <w:rFonts w:asciiTheme="minorEastAsia" w:hAnsiTheme="minorEastAsia" w:eastAsiaTheme="minorEastAsia"/>
          <w:b/>
          <w:bCs/>
          <w:color w:val="000000"/>
          <w:sz w:val="30"/>
          <w:szCs w:val="30"/>
        </w:rPr>
      </w:pPr>
    </w:p>
    <w:p>
      <w:pPr>
        <w:rPr>
          <w:rFonts w:asciiTheme="minorEastAsia" w:hAnsiTheme="minorEastAsia" w:eastAsiaTheme="minorEastAsia"/>
          <w:b/>
          <w:bCs/>
          <w:color w:val="000000"/>
          <w:sz w:val="36"/>
          <w:szCs w:val="36"/>
        </w:rPr>
      </w:pPr>
      <w:r>
        <w:rPr>
          <w:rFonts w:hint="eastAsia" w:cs="宋体" w:asciiTheme="minorEastAsia" w:hAnsiTheme="minorEastAsia" w:eastAsiaTheme="minorEastAsia"/>
          <w:b/>
          <w:bCs/>
          <w:color w:val="000000"/>
          <w:sz w:val="36"/>
          <w:szCs w:val="36"/>
        </w:rPr>
        <w:t>项目编号：</w:t>
      </w:r>
      <w:r>
        <w:rPr>
          <w:rFonts w:hint="eastAsia" w:cs="楷体_GB2312" w:asciiTheme="minorEastAsia" w:hAnsiTheme="minorEastAsia" w:eastAsiaTheme="minorEastAsia"/>
          <w:b/>
          <w:bCs/>
          <w:color w:val="000000"/>
          <w:sz w:val="36"/>
          <w:szCs w:val="36"/>
          <w:u w:val="single"/>
        </w:rPr>
        <w:t>院总编：2018-68#</w:t>
      </w:r>
    </w:p>
    <w:p>
      <w:pPr>
        <w:rPr>
          <w:rFonts w:cs="楷体_GB2312" w:asciiTheme="minorEastAsia" w:hAnsiTheme="minorEastAsia" w:eastAsiaTheme="minorEastAsia"/>
          <w:b/>
          <w:bCs/>
          <w:color w:val="000000"/>
          <w:sz w:val="36"/>
          <w:szCs w:val="36"/>
          <w:u w:val="single"/>
        </w:rPr>
      </w:pPr>
      <w:r>
        <w:rPr>
          <w:rFonts w:hint="eastAsia" w:cs="宋体" w:asciiTheme="minorEastAsia" w:hAnsiTheme="minorEastAsia" w:eastAsiaTheme="minorEastAsia"/>
          <w:b/>
          <w:bCs/>
          <w:color w:val="000000"/>
          <w:sz w:val="36"/>
          <w:szCs w:val="36"/>
        </w:rPr>
        <w:t>项目名称：</w:t>
      </w:r>
      <w:r>
        <w:rPr>
          <w:rFonts w:hint="eastAsia" w:cs="楷体_GB2312" w:asciiTheme="minorEastAsia" w:hAnsiTheme="minorEastAsia" w:eastAsiaTheme="minorEastAsia"/>
          <w:b/>
          <w:bCs/>
          <w:color w:val="000000"/>
          <w:sz w:val="36"/>
          <w:szCs w:val="36"/>
          <w:u w:val="single"/>
        </w:rPr>
        <w:t>江苏省盐城技师学院2018年</w:t>
      </w:r>
    </w:p>
    <w:p>
      <w:pPr>
        <w:ind w:firstLine="1807" w:firstLineChars="500"/>
        <w:rPr>
          <w:rFonts w:cs="楷体_GB2312" w:asciiTheme="minorEastAsia" w:hAnsiTheme="minorEastAsia" w:eastAsiaTheme="minorEastAsia"/>
          <w:b/>
          <w:bCs/>
          <w:color w:val="000000"/>
          <w:sz w:val="36"/>
          <w:szCs w:val="36"/>
          <w:u w:val="single"/>
        </w:rPr>
      </w:pPr>
      <w:r>
        <w:rPr>
          <w:rFonts w:hint="eastAsia" w:cs="楷体_GB2312" w:asciiTheme="minorEastAsia" w:hAnsiTheme="minorEastAsia" w:eastAsiaTheme="minorEastAsia"/>
          <w:b/>
          <w:bCs/>
          <w:color w:val="000000"/>
          <w:sz w:val="36"/>
          <w:szCs w:val="36"/>
          <w:u w:val="single"/>
        </w:rPr>
        <w:t>中秋节教职工福利公开</w:t>
      </w:r>
      <w:r>
        <w:rPr>
          <w:rFonts w:hint="eastAsia" w:cs="楷体_GB2312" w:asciiTheme="minorEastAsia" w:hAnsiTheme="minorEastAsia" w:eastAsiaTheme="minorEastAsia"/>
          <w:b/>
          <w:bCs/>
          <w:color w:val="000000"/>
          <w:sz w:val="36"/>
          <w:szCs w:val="36"/>
          <w:u w:val="single"/>
          <w:lang w:val="zh-TW"/>
        </w:rPr>
        <w:t>招标</w:t>
      </w:r>
    </w:p>
    <w:p>
      <w:pPr>
        <w:rPr>
          <w:rFonts w:cs="宋体" w:asciiTheme="minorEastAsia" w:hAnsiTheme="minorEastAsia" w:eastAsiaTheme="minorEastAsia"/>
          <w:b/>
          <w:bCs/>
          <w:color w:val="000000"/>
          <w:sz w:val="36"/>
          <w:szCs w:val="36"/>
        </w:rPr>
      </w:pPr>
      <w:r>
        <w:rPr>
          <w:rFonts w:hint="eastAsia" w:cs="宋体" w:asciiTheme="minorEastAsia" w:hAnsiTheme="minorEastAsia" w:eastAsiaTheme="minorEastAsia"/>
          <w:b/>
          <w:bCs/>
          <w:color w:val="000000"/>
          <w:w w:val="120"/>
          <w:sz w:val="36"/>
          <w:szCs w:val="36"/>
          <w:lang w:val="zh-TW"/>
        </w:rPr>
        <w:t>招标人：</w:t>
      </w:r>
      <w:r>
        <w:rPr>
          <w:rFonts w:hint="eastAsia" w:cs="楷体_GB2312" w:asciiTheme="minorEastAsia" w:hAnsiTheme="minorEastAsia" w:eastAsiaTheme="minorEastAsia"/>
          <w:b/>
          <w:bCs/>
          <w:color w:val="000000"/>
          <w:sz w:val="36"/>
          <w:szCs w:val="36"/>
          <w:u w:val="single"/>
          <w:lang w:val="zh-TW"/>
        </w:rPr>
        <w:t>江苏省盐城技师学院</w:t>
      </w:r>
    </w:p>
    <w:p>
      <w:pPr>
        <w:jc w:val="center"/>
        <w:rPr>
          <w:rFonts w:cs="宋体" w:asciiTheme="minorEastAsia" w:hAnsiTheme="minorEastAsia" w:eastAsiaTheme="minorEastAsia"/>
          <w:b/>
          <w:bCs/>
          <w:color w:val="000000"/>
          <w:sz w:val="36"/>
          <w:szCs w:val="36"/>
          <w:lang w:val="zh-TW"/>
        </w:rPr>
      </w:pPr>
    </w:p>
    <w:p>
      <w:pPr>
        <w:jc w:val="center"/>
        <w:rPr>
          <w:rFonts w:cs="宋体" w:asciiTheme="minorEastAsia" w:hAnsiTheme="minorEastAsia" w:eastAsiaTheme="minorEastAsia"/>
          <w:b/>
          <w:bCs/>
          <w:color w:val="000000"/>
          <w:sz w:val="36"/>
          <w:szCs w:val="36"/>
          <w:lang w:val="zh-TW"/>
        </w:rPr>
      </w:pPr>
    </w:p>
    <w:p>
      <w:pPr>
        <w:jc w:val="center"/>
        <w:rPr>
          <w:rFonts w:cs="宋体" w:asciiTheme="minorEastAsia" w:hAnsiTheme="minorEastAsia" w:eastAsiaTheme="minorEastAsia"/>
          <w:b/>
          <w:bCs/>
          <w:color w:val="000000"/>
          <w:sz w:val="36"/>
          <w:szCs w:val="36"/>
          <w:lang w:val="zh-TW"/>
        </w:rPr>
      </w:pPr>
    </w:p>
    <w:p>
      <w:pPr>
        <w:jc w:val="center"/>
        <w:rPr>
          <w:rFonts w:cs="宋体" w:asciiTheme="minorEastAsia" w:hAnsiTheme="minorEastAsia" w:eastAsiaTheme="minorEastAsia"/>
          <w:b/>
          <w:bCs/>
          <w:color w:val="000000"/>
          <w:sz w:val="36"/>
          <w:szCs w:val="36"/>
          <w:lang w:val="zh-TW"/>
        </w:rPr>
      </w:pPr>
    </w:p>
    <w:p>
      <w:pPr>
        <w:jc w:val="center"/>
        <w:rPr>
          <w:rFonts w:cs="宋体" w:asciiTheme="minorEastAsia" w:hAnsiTheme="minorEastAsia" w:eastAsiaTheme="minorEastAsia"/>
          <w:b/>
          <w:bCs/>
          <w:color w:val="000000"/>
          <w:sz w:val="36"/>
          <w:szCs w:val="36"/>
          <w:lang w:val="zh-TW"/>
        </w:rPr>
      </w:pPr>
    </w:p>
    <w:p>
      <w:pPr>
        <w:jc w:val="center"/>
        <w:rPr>
          <w:rFonts w:cs="黑体" w:asciiTheme="minorEastAsia" w:hAnsiTheme="minorEastAsia" w:eastAsiaTheme="minorEastAsia"/>
          <w:color w:val="000000"/>
          <w:sz w:val="44"/>
          <w:szCs w:val="44"/>
        </w:rPr>
      </w:pPr>
      <w:r>
        <w:rPr>
          <w:rFonts w:cs="黑体" w:asciiTheme="minorEastAsia" w:hAnsiTheme="minorEastAsia" w:eastAsiaTheme="minorEastAsia"/>
          <w:color w:val="000000"/>
          <w:sz w:val="44"/>
          <w:szCs w:val="44"/>
        </w:rPr>
        <w:t>2018</w:t>
      </w:r>
      <w:r>
        <w:rPr>
          <w:rFonts w:hint="eastAsia" w:cs="黑体" w:asciiTheme="minorEastAsia" w:hAnsiTheme="minorEastAsia" w:eastAsiaTheme="minorEastAsia"/>
          <w:color w:val="000000"/>
          <w:sz w:val="44"/>
          <w:szCs w:val="44"/>
        </w:rPr>
        <w:t>年</w:t>
      </w:r>
      <w:r>
        <w:rPr>
          <w:rFonts w:hint="eastAsia" w:cs="黑体" w:asciiTheme="minorEastAsia" w:hAnsiTheme="minorEastAsia" w:eastAsiaTheme="minorEastAsia"/>
          <w:color w:val="000000"/>
          <w:sz w:val="44"/>
          <w:szCs w:val="44"/>
          <w:lang w:val="en-US" w:eastAsia="zh-CN"/>
        </w:rPr>
        <w:t>9</w:t>
      </w:r>
      <w:r>
        <w:rPr>
          <w:rFonts w:hint="eastAsia" w:cs="黑体" w:asciiTheme="minorEastAsia" w:hAnsiTheme="minorEastAsia" w:eastAsiaTheme="minorEastAsia"/>
          <w:color w:val="000000"/>
          <w:sz w:val="44"/>
          <w:szCs w:val="44"/>
        </w:rPr>
        <w:t>月</w:t>
      </w:r>
    </w:p>
    <w:p>
      <w:pPr>
        <w:jc w:val="center"/>
        <w:rPr>
          <w:rFonts w:cs="黑体" w:asciiTheme="minorEastAsia" w:hAnsiTheme="minorEastAsia" w:eastAsiaTheme="minorEastAsia"/>
          <w:color w:val="000000"/>
          <w:sz w:val="44"/>
          <w:szCs w:val="44"/>
        </w:rPr>
      </w:pPr>
    </w:p>
    <w:p>
      <w:pPr>
        <w:jc w:val="center"/>
        <w:rPr>
          <w:rFonts w:cs="黑体" w:asciiTheme="minorEastAsia" w:hAnsiTheme="minorEastAsia" w:eastAsiaTheme="minorEastAsia"/>
          <w:color w:val="000000"/>
          <w:sz w:val="44"/>
          <w:szCs w:val="44"/>
        </w:rPr>
      </w:pPr>
    </w:p>
    <w:p>
      <w:pPr>
        <w:jc w:val="center"/>
        <w:rPr>
          <w:rFonts w:cs="黑体" w:asciiTheme="minorEastAsia" w:hAnsiTheme="minorEastAsia" w:eastAsiaTheme="minorEastAsia"/>
          <w:color w:val="000000"/>
          <w:sz w:val="44"/>
          <w:szCs w:val="44"/>
        </w:rPr>
      </w:pPr>
    </w:p>
    <w:p>
      <w:pPr>
        <w:spacing w:line="700" w:lineRule="exact"/>
        <w:jc w:val="center"/>
        <w:rPr>
          <w:rFonts w:asciiTheme="minorEastAsia" w:hAnsiTheme="minorEastAsia" w:eastAsiaTheme="minorEastAsia"/>
          <w:b/>
          <w:bCs/>
          <w:sz w:val="44"/>
        </w:rPr>
      </w:pPr>
      <w:r>
        <w:rPr>
          <w:rFonts w:hint="eastAsia" w:asciiTheme="minorEastAsia" w:hAnsiTheme="minorEastAsia" w:eastAsiaTheme="minorEastAsia"/>
          <w:b/>
          <w:bCs/>
          <w:sz w:val="44"/>
        </w:rPr>
        <w:t>提      示</w:t>
      </w:r>
    </w:p>
    <w:p>
      <w:pPr>
        <w:spacing w:line="700" w:lineRule="exact"/>
        <w:jc w:val="center"/>
        <w:rPr>
          <w:rFonts w:asciiTheme="minorEastAsia" w:hAnsiTheme="minorEastAsia" w:eastAsiaTheme="minorEastAsia"/>
          <w:sz w:val="32"/>
          <w:szCs w:val="32"/>
        </w:rPr>
      </w:pPr>
    </w:p>
    <w:p>
      <w:pPr>
        <w:snapToGrid w:val="0"/>
        <w:spacing w:line="560" w:lineRule="exact"/>
        <w:ind w:firstLine="420" w:firstLineChars="150"/>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sz w:val="28"/>
          <w:szCs w:val="28"/>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pPr>
        <w:snapToGrid w:val="0"/>
        <w:spacing w:line="560" w:lineRule="exact"/>
        <w:ind w:firstLine="420" w:firstLineChars="150"/>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sz w:val="28"/>
          <w:szCs w:val="28"/>
        </w:rPr>
        <w:t>二、投标人必须对其提交文件、证件、资料的真实性、有效性和合法性承担责任。</w:t>
      </w:r>
    </w:p>
    <w:p>
      <w:pPr>
        <w:snapToGrid w:val="0"/>
        <w:spacing w:line="560" w:lineRule="exact"/>
        <w:ind w:firstLine="420" w:firstLineChars="150"/>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sz w:val="28"/>
          <w:szCs w:val="28"/>
        </w:rPr>
        <w:t>三、投标人必须按照招标文件的要求详细填写和编制投标文件。</w:t>
      </w:r>
    </w:p>
    <w:p>
      <w:pPr>
        <w:snapToGrid w:val="0"/>
        <w:spacing w:line="560" w:lineRule="exact"/>
        <w:ind w:firstLine="420" w:firstLineChars="150"/>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sz w:val="28"/>
          <w:szCs w:val="28"/>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pPr>
        <w:snapToGrid w:val="0"/>
        <w:spacing w:line="560" w:lineRule="exact"/>
        <w:ind w:firstLine="420" w:firstLineChars="150"/>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sz w:val="28"/>
          <w:szCs w:val="28"/>
        </w:rPr>
        <w:t>五、招标人：江苏省盐城技师学院</w:t>
      </w:r>
    </w:p>
    <w:p>
      <w:pPr>
        <w:snapToGrid w:val="0"/>
        <w:spacing w:line="560" w:lineRule="exact"/>
        <w:ind w:firstLine="420" w:firstLineChars="150"/>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sz w:val="28"/>
          <w:szCs w:val="28"/>
        </w:rPr>
        <w:t>联系人：杨老师0515—68661002</w:t>
      </w:r>
    </w:p>
    <w:p>
      <w:pPr>
        <w:pStyle w:val="6"/>
        <w:spacing w:line="600" w:lineRule="exact"/>
        <w:ind w:firstLine="742"/>
        <w:rPr>
          <w:rFonts w:asciiTheme="minorEastAsia" w:hAnsiTheme="minorEastAsia" w:eastAsiaTheme="minorEastAsia"/>
          <w:color w:val="000000" w:themeColor="text1"/>
          <w:szCs w:val="32"/>
          <w14:textFill>
            <w14:solidFill>
              <w14:schemeClr w14:val="tx1"/>
            </w14:solidFill>
          </w14:textFill>
        </w:rPr>
      </w:pPr>
    </w:p>
    <w:p>
      <w:pPr>
        <w:pStyle w:val="6"/>
        <w:spacing w:line="600" w:lineRule="exact"/>
        <w:ind w:firstLine="742"/>
        <w:rPr>
          <w:rFonts w:asciiTheme="minorEastAsia" w:hAnsiTheme="minorEastAsia" w:eastAsiaTheme="minorEastAsia"/>
          <w:color w:val="000000" w:themeColor="text1"/>
          <w:szCs w:val="32"/>
          <w14:textFill>
            <w14:solidFill>
              <w14:schemeClr w14:val="tx1"/>
            </w14:solidFill>
          </w14:textFill>
        </w:rPr>
      </w:pPr>
    </w:p>
    <w:p>
      <w:pPr>
        <w:pStyle w:val="6"/>
        <w:spacing w:line="600" w:lineRule="exact"/>
        <w:ind w:firstLine="742"/>
        <w:rPr>
          <w:rFonts w:asciiTheme="minorEastAsia" w:hAnsiTheme="minorEastAsia" w:eastAsiaTheme="minorEastAsia"/>
          <w:color w:val="000000" w:themeColor="text1"/>
          <w:szCs w:val="32"/>
          <w14:textFill>
            <w14:solidFill>
              <w14:schemeClr w14:val="tx1"/>
            </w14:solidFill>
          </w14:textFill>
        </w:rPr>
      </w:pPr>
    </w:p>
    <w:p>
      <w:pPr>
        <w:pStyle w:val="6"/>
        <w:spacing w:line="600" w:lineRule="exact"/>
        <w:ind w:firstLine="742"/>
        <w:rPr>
          <w:rFonts w:asciiTheme="minorEastAsia" w:hAnsiTheme="minorEastAsia" w:eastAsiaTheme="minorEastAsia"/>
          <w:color w:val="000000" w:themeColor="text1"/>
          <w:szCs w:val="32"/>
          <w14:textFill>
            <w14:solidFill>
              <w14:schemeClr w14:val="tx1"/>
            </w14:solidFill>
          </w14:textFill>
        </w:rPr>
      </w:pPr>
    </w:p>
    <w:p>
      <w:pPr>
        <w:pStyle w:val="6"/>
        <w:spacing w:line="600" w:lineRule="exact"/>
        <w:ind w:firstLine="742"/>
        <w:rPr>
          <w:rFonts w:asciiTheme="minorEastAsia" w:hAnsiTheme="minorEastAsia" w:eastAsiaTheme="minorEastAsia"/>
          <w:color w:val="000000" w:themeColor="text1"/>
          <w:szCs w:val="32"/>
          <w14:textFill>
            <w14:solidFill>
              <w14:schemeClr w14:val="tx1"/>
            </w14:solidFill>
          </w14:textFill>
        </w:rPr>
      </w:pPr>
    </w:p>
    <w:p>
      <w:pPr>
        <w:pStyle w:val="6"/>
        <w:spacing w:line="600" w:lineRule="exact"/>
        <w:ind w:firstLine="742"/>
        <w:rPr>
          <w:rFonts w:asciiTheme="minorEastAsia" w:hAnsiTheme="minorEastAsia" w:eastAsiaTheme="minorEastAsia"/>
          <w:color w:val="000000" w:themeColor="text1"/>
          <w:szCs w:val="32"/>
          <w14:textFill>
            <w14:solidFill>
              <w14:schemeClr w14:val="tx1"/>
            </w14:solidFill>
          </w14:textFill>
        </w:rPr>
      </w:pPr>
    </w:p>
    <w:p>
      <w:pPr>
        <w:pStyle w:val="6"/>
        <w:spacing w:line="600" w:lineRule="exact"/>
        <w:ind w:left="0" w:firstLine="0" w:firstLineChars="0"/>
        <w:rPr>
          <w:rFonts w:asciiTheme="minorEastAsia" w:hAnsiTheme="minorEastAsia" w:eastAsiaTheme="minorEastAsia"/>
          <w:color w:val="000000" w:themeColor="text1"/>
          <w:szCs w:val="32"/>
          <w14:textFill>
            <w14:solidFill>
              <w14:schemeClr w14:val="tx1"/>
            </w14:solidFill>
          </w14:textFill>
        </w:rPr>
      </w:pPr>
    </w:p>
    <w:p>
      <w:pPr>
        <w:tabs>
          <w:tab w:val="left" w:pos="2600"/>
        </w:tabs>
        <w:spacing w:before="156" w:beforeLines="50" w:after="156" w:afterLines="50"/>
        <w:jc w:val="center"/>
        <w:rPr>
          <w:rFonts w:asciiTheme="minorEastAsia" w:hAnsiTheme="minorEastAsia" w:eastAsiaTheme="minorEastAsia"/>
          <w:sz w:val="44"/>
        </w:rPr>
        <w:sectPr>
          <w:pgSz w:w="11906" w:h="16838"/>
          <w:pgMar w:top="1440" w:right="1800" w:bottom="1440" w:left="1800" w:header="851" w:footer="992" w:gutter="0"/>
          <w:cols w:space="425" w:num="1"/>
          <w:docGrid w:type="lines" w:linePitch="312" w:charSpace="0"/>
        </w:sectPr>
      </w:pPr>
    </w:p>
    <w:p>
      <w:pPr>
        <w:tabs>
          <w:tab w:val="left" w:pos="2600"/>
        </w:tabs>
        <w:spacing w:before="156" w:beforeLines="50" w:after="156" w:afterLines="50"/>
        <w:jc w:val="center"/>
        <w:rPr>
          <w:rFonts w:asciiTheme="minorEastAsia" w:hAnsiTheme="minorEastAsia" w:eastAsiaTheme="minorEastAsia"/>
          <w:sz w:val="44"/>
        </w:rPr>
      </w:pPr>
      <w:r>
        <w:rPr>
          <w:rFonts w:hint="eastAsia" w:asciiTheme="minorEastAsia" w:hAnsiTheme="minorEastAsia" w:eastAsiaTheme="minorEastAsia"/>
          <w:sz w:val="44"/>
        </w:rPr>
        <w:t>第一部分  招标公告</w:t>
      </w:r>
    </w:p>
    <w:p>
      <w:pPr>
        <w:spacing w:line="560" w:lineRule="exact"/>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根据《中华人民共和国政府采购法》等法律、法规的规定，现就</w:t>
      </w:r>
      <w:r>
        <w:rPr>
          <w:rFonts w:hint="eastAsia" w:cs="仿宋_GB2312" w:asciiTheme="minorEastAsia" w:hAnsiTheme="minorEastAsia" w:eastAsiaTheme="minorEastAsia"/>
          <w:sz w:val="28"/>
          <w:szCs w:val="28"/>
          <w:u w:val="single"/>
        </w:rPr>
        <w:t>江苏省盐城技师学院2018年中秋节教职工福利</w:t>
      </w:r>
      <w:r>
        <w:rPr>
          <w:rFonts w:hint="eastAsia" w:cs="仿宋_GB2312" w:asciiTheme="minorEastAsia" w:hAnsiTheme="minorEastAsia" w:eastAsiaTheme="minorEastAsia"/>
          <w:sz w:val="28"/>
          <w:szCs w:val="28"/>
        </w:rPr>
        <w:t>进行</w:t>
      </w:r>
      <w:r>
        <w:rPr>
          <w:rFonts w:hint="eastAsia" w:cs="仿宋_GB2312" w:asciiTheme="minorEastAsia" w:hAnsiTheme="minorEastAsia" w:eastAsiaTheme="minorEastAsia"/>
          <w:sz w:val="28"/>
          <w:szCs w:val="28"/>
          <w:u w:val="single"/>
        </w:rPr>
        <w:t>公开招标</w:t>
      </w:r>
      <w:r>
        <w:rPr>
          <w:rFonts w:hint="eastAsia" w:cs="仿宋_GB2312" w:asciiTheme="minorEastAsia" w:hAnsiTheme="minorEastAsia" w:eastAsiaTheme="minorEastAsia"/>
          <w:sz w:val="28"/>
          <w:szCs w:val="28"/>
        </w:rPr>
        <w:t>采购，欢迎合格的潜在投标人参加投标。</w:t>
      </w:r>
    </w:p>
    <w:p>
      <w:pPr>
        <w:spacing w:line="560" w:lineRule="exact"/>
        <w:ind w:firstLine="562" w:firstLineChars="200"/>
        <w:rPr>
          <w:rFonts w:cs="黑体" w:asciiTheme="minorEastAsia" w:hAnsiTheme="minorEastAsia" w:eastAsiaTheme="minorEastAsia"/>
          <w:b/>
          <w:bCs/>
          <w:sz w:val="28"/>
          <w:szCs w:val="28"/>
        </w:rPr>
      </w:pPr>
      <w:r>
        <w:rPr>
          <w:rFonts w:hint="eastAsia" w:cs="黑体" w:asciiTheme="minorEastAsia" w:hAnsiTheme="minorEastAsia" w:eastAsiaTheme="minorEastAsia"/>
          <w:b/>
          <w:bCs/>
          <w:sz w:val="28"/>
          <w:szCs w:val="28"/>
        </w:rPr>
        <w:t>一、招标项目</w:t>
      </w:r>
    </w:p>
    <w:p>
      <w:pPr>
        <w:tabs>
          <w:tab w:val="left" w:pos="2600"/>
        </w:tabs>
        <w:spacing w:before="156" w:beforeLines="50" w:after="156" w:afterLines="50"/>
        <w:jc w:val="center"/>
        <w:rPr>
          <w:rFonts w:cs="仿宋_GB2312" w:asciiTheme="minorEastAsia" w:hAnsiTheme="minorEastAsia" w:eastAsiaTheme="minorEastAsia"/>
          <w:b/>
          <w:bCs/>
          <w:sz w:val="28"/>
          <w:szCs w:val="28"/>
        </w:rPr>
      </w:pPr>
      <w:r>
        <w:rPr>
          <w:rFonts w:hint="eastAsia" w:cs="仿宋_GB2312" w:asciiTheme="minorEastAsia" w:hAnsiTheme="minorEastAsia" w:eastAsiaTheme="minorEastAsia"/>
          <w:b/>
          <w:bCs/>
          <w:sz w:val="28"/>
          <w:szCs w:val="28"/>
        </w:rPr>
        <w:t>货物技术参数要求</w:t>
      </w:r>
    </w:p>
    <w:tbl>
      <w:tblPr>
        <w:tblStyle w:val="12"/>
        <w:tblW w:w="8149" w:type="dxa"/>
        <w:jc w:val="center"/>
        <w:tblInd w:w="-15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600"/>
        <w:gridCol w:w="2455"/>
        <w:gridCol w:w="675"/>
        <w:gridCol w:w="889"/>
        <w:gridCol w:w="842"/>
        <w:gridCol w:w="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5" w:type="dxa"/>
            <w:vAlign w:val="center"/>
          </w:tcPr>
          <w:p>
            <w:pPr>
              <w:snapToGrid w:val="0"/>
              <w:spacing w:line="500" w:lineRule="exact"/>
              <w:jc w:val="center"/>
              <w:rPr>
                <w:rFonts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序号</w:t>
            </w:r>
          </w:p>
        </w:tc>
        <w:tc>
          <w:tcPr>
            <w:tcW w:w="1600" w:type="dxa"/>
            <w:vAlign w:val="center"/>
          </w:tcPr>
          <w:p>
            <w:pPr>
              <w:snapToGrid w:val="0"/>
              <w:spacing w:line="500" w:lineRule="exact"/>
              <w:jc w:val="center"/>
              <w:rPr>
                <w:rFonts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项目</w:t>
            </w:r>
          </w:p>
        </w:tc>
        <w:tc>
          <w:tcPr>
            <w:tcW w:w="2455" w:type="dxa"/>
            <w:vAlign w:val="center"/>
          </w:tcPr>
          <w:p>
            <w:pPr>
              <w:snapToGrid w:val="0"/>
              <w:spacing w:line="500" w:lineRule="exact"/>
              <w:jc w:val="center"/>
              <w:rPr>
                <w:rFonts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规格</w:t>
            </w:r>
          </w:p>
        </w:tc>
        <w:tc>
          <w:tcPr>
            <w:tcW w:w="675" w:type="dxa"/>
            <w:vAlign w:val="center"/>
          </w:tcPr>
          <w:p>
            <w:pPr>
              <w:snapToGrid w:val="0"/>
              <w:spacing w:line="500" w:lineRule="exact"/>
              <w:jc w:val="center"/>
              <w:rPr>
                <w:rFonts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单价</w:t>
            </w:r>
          </w:p>
        </w:tc>
        <w:tc>
          <w:tcPr>
            <w:tcW w:w="889" w:type="dxa"/>
            <w:vAlign w:val="center"/>
          </w:tcPr>
          <w:p>
            <w:pPr>
              <w:snapToGrid w:val="0"/>
              <w:spacing w:line="500" w:lineRule="exact"/>
              <w:jc w:val="center"/>
              <w:rPr>
                <w:rFonts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数量</w:t>
            </w:r>
          </w:p>
          <w:p>
            <w:pPr>
              <w:snapToGrid w:val="0"/>
              <w:spacing w:line="500" w:lineRule="exact"/>
              <w:jc w:val="center"/>
              <w:rPr>
                <w:rFonts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（份）</w:t>
            </w:r>
          </w:p>
        </w:tc>
        <w:tc>
          <w:tcPr>
            <w:tcW w:w="842" w:type="dxa"/>
            <w:vAlign w:val="center"/>
          </w:tcPr>
          <w:p>
            <w:pPr>
              <w:snapToGrid w:val="0"/>
              <w:spacing w:line="500" w:lineRule="exact"/>
              <w:jc w:val="center"/>
              <w:rPr>
                <w:rFonts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金额</w:t>
            </w:r>
          </w:p>
        </w:tc>
        <w:tc>
          <w:tcPr>
            <w:tcW w:w="813" w:type="dxa"/>
            <w:vAlign w:val="center"/>
          </w:tcPr>
          <w:p>
            <w:pPr>
              <w:snapToGrid w:val="0"/>
              <w:spacing w:line="500" w:lineRule="exact"/>
              <w:jc w:val="center"/>
              <w:rPr>
                <w:rFonts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5" w:type="dxa"/>
            <w:vAlign w:val="center"/>
          </w:tcPr>
          <w:p>
            <w:pPr>
              <w:snapToGrid w:val="0"/>
              <w:spacing w:line="500" w:lineRule="exact"/>
              <w:jc w:val="center"/>
              <w:rPr>
                <w:rFonts w:ascii="仿宋_GB2312" w:eastAsia="仿宋_GB2312" w:cs="仿宋_GB2312"/>
                <w:b/>
                <w:bCs/>
                <w:color w:val="000000"/>
                <w:sz w:val="24"/>
                <w:szCs w:val="24"/>
              </w:rPr>
            </w:pPr>
            <w:r>
              <w:rPr>
                <w:rFonts w:hint="eastAsia" w:ascii="仿宋_GB2312" w:eastAsia="仿宋_GB2312" w:cs="仿宋_GB2312"/>
                <w:b/>
                <w:bCs/>
                <w:color w:val="000000"/>
                <w:sz w:val="24"/>
                <w:szCs w:val="24"/>
              </w:rPr>
              <w:t>1</w:t>
            </w:r>
          </w:p>
        </w:tc>
        <w:tc>
          <w:tcPr>
            <w:tcW w:w="1600" w:type="dxa"/>
            <w:vAlign w:val="center"/>
          </w:tcPr>
          <w:p>
            <w:pPr>
              <w:snapToGrid w:val="0"/>
              <w:spacing w:line="500" w:lineRule="exact"/>
              <w:jc w:val="center"/>
              <w:rPr>
                <w:rFonts w:ascii="仿宋_GB2312" w:eastAsia="仿宋_GB2312" w:cs="仿宋_GB2312"/>
                <w:color w:val="000000"/>
                <w:sz w:val="24"/>
                <w:szCs w:val="24"/>
              </w:rPr>
            </w:pPr>
            <w:r>
              <w:rPr>
                <w:rFonts w:hint="eastAsia" w:ascii="仿宋_GB2312" w:eastAsia="仿宋_GB2312" w:cs="仿宋_GB2312"/>
                <w:color w:val="000000"/>
                <w:sz w:val="24"/>
                <w:szCs w:val="24"/>
              </w:rPr>
              <w:t>五谷杂粮</w:t>
            </w:r>
          </w:p>
        </w:tc>
        <w:tc>
          <w:tcPr>
            <w:tcW w:w="2455" w:type="dxa"/>
            <w:vAlign w:val="center"/>
          </w:tcPr>
          <w:p>
            <w:pPr>
              <w:widowControl/>
              <w:spacing w:line="400" w:lineRule="exact"/>
              <w:rPr>
                <w:rFonts w:ascii="仿宋_GB2312" w:eastAsia="仿宋_GB2312" w:cs="仿宋_GB2312"/>
                <w:color w:val="000000"/>
                <w:sz w:val="24"/>
                <w:szCs w:val="24"/>
              </w:rPr>
            </w:pPr>
            <w:r>
              <w:rPr>
                <w:rFonts w:hint="eastAsia" w:ascii="仿宋_GB2312" w:hAnsi="仿宋_GB2312" w:eastAsia="仿宋_GB2312" w:cs="仿宋_GB2312"/>
                <w:color w:val="000000"/>
                <w:sz w:val="24"/>
                <w:szCs w:val="24"/>
              </w:rPr>
              <w:t>礼盒装，≥6种杂粮组合，</w:t>
            </w:r>
            <w:r>
              <w:rPr>
                <w:rFonts w:hint="eastAsia" w:ascii="仿宋_GB2312" w:hAnsi="仿宋_GB2312" w:eastAsia="仿宋_GB2312" w:cs="仿宋_GB2312"/>
                <w:color w:val="666666"/>
                <w:sz w:val="24"/>
                <w:szCs w:val="24"/>
                <w:shd w:val="clear" w:color="auto" w:fill="FFFFFF"/>
              </w:rPr>
              <w:t>商品毛重</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666666"/>
                <w:sz w:val="24"/>
                <w:szCs w:val="24"/>
                <w:shd w:val="clear" w:color="auto" w:fill="FFFFFF"/>
              </w:rPr>
              <w:t>3kg</w:t>
            </w:r>
          </w:p>
        </w:tc>
        <w:tc>
          <w:tcPr>
            <w:tcW w:w="675" w:type="dxa"/>
            <w:vAlign w:val="center"/>
          </w:tcPr>
          <w:p>
            <w:pPr>
              <w:snapToGrid w:val="0"/>
              <w:spacing w:line="500" w:lineRule="exact"/>
              <w:jc w:val="center"/>
              <w:rPr>
                <w:rFonts w:ascii="仿宋" w:hAnsi="仿宋" w:eastAsia="仿宋"/>
                <w:sz w:val="24"/>
                <w:szCs w:val="24"/>
              </w:rPr>
            </w:pPr>
          </w:p>
        </w:tc>
        <w:tc>
          <w:tcPr>
            <w:tcW w:w="889" w:type="dxa"/>
            <w:vAlign w:val="center"/>
          </w:tcPr>
          <w:p>
            <w:pPr>
              <w:snapToGrid w:val="0"/>
              <w:spacing w:line="400" w:lineRule="exact"/>
              <w:jc w:val="center"/>
              <w:rPr>
                <w:rFonts w:ascii="仿宋_GB2312" w:eastAsia="仿宋_GB2312" w:cs="仿宋_GB2312"/>
                <w:color w:val="000000"/>
                <w:sz w:val="24"/>
                <w:szCs w:val="24"/>
              </w:rPr>
            </w:pPr>
            <w:r>
              <w:rPr>
                <w:rFonts w:hint="eastAsia" w:ascii="仿宋_GB2312" w:eastAsia="仿宋_GB2312" w:cs="仿宋_GB2312"/>
                <w:color w:val="000000"/>
                <w:sz w:val="24"/>
                <w:szCs w:val="24"/>
              </w:rPr>
              <w:t>824</w:t>
            </w:r>
          </w:p>
        </w:tc>
        <w:tc>
          <w:tcPr>
            <w:tcW w:w="842" w:type="dxa"/>
            <w:vAlign w:val="center"/>
          </w:tcPr>
          <w:p>
            <w:pPr>
              <w:snapToGrid w:val="0"/>
              <w:spacing w:line="500" w:lineRule="exact"/>
              <w:jc w:val="center"/>
              <w:rPr>
                <w:rFonts w:ascii="仿宋" w:hAnsi="仿宋" w:eastAsia="仿宋"/>
                <w:sz w:val="24"/>
                <w:szCs w:val="24"/>
              </w:rPr>
            </w:pPr>
          </w:p>
        </w:tc>
        <w:tc>
          <w:tcPr>
            <w:tcW w:w="813" w:type="dxa"/>
            <w:vAlign w:val="center"/>
          </w:tcPr>
          <w:p>
            <w:pPr>
              <w:snapToGrid w:val="0"/>
              <w:spacing w:line="50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5" w:type="dxa"/>
            <w:vAlign w:val="center"/>
          </w:tcPr>
          <w:p>
            <w:pPr>
              <w:snapToGrid w:val="0"/>
              <w:spacing w:line="500" w:lineRule="exact"/>
              <w:jc w:val="center"/>
              <w:rPr>
                <w:rFonts w:ascii="仿宋_GB2312" w:eastAsia="仿宋_GB2312" w:cs="仿宋_GB2312"/>
                <w:b/>
                <w:bCs/>
                <w:color w:val="000000"/>
                <w:sz w:val="24"/>
                <w:szCs w:val="24"/>
              </w:rPr>
            </w:pPr>
            <w:r>
              <w:rPr>
                <w:rFonts w:hint="eastAsia" w:ascii="仿宋_GB2312" w:eastAsia="仿宋_GB2312" w:cs="仿宋_GB2312"/>
                <w:b/>
                <w:bCs/>
                <w:color w:val="000000"/>
                <w:sz w:val="24"/>
                <w:szCs w:val="24"/>
              </w:rPr>
              <w:t>2</w:t>
            </w:r>
          </w:p>
        </w:tc>
        <w:tc>
          <w:tcPr>
            <w:tcW w:w="1600" w:type="dxa"/>
            <w:vAlign w:val="center"/>
          </w:tcPr>
          <w:p>
            <w:pPr>
              <w:snapToGrid w:val="0"/>
              <w:spacing w:line="500" w:lineRule="exact"/>
              <w:jc w:val="center"/>
              <w:rPr>
                <w:rFonts w:ascii="仿宋_GB2312" w:eastAsia="仿宋_GB2312" w:cs="仿宋_GB2312"/>
                <w:color w:val="000000"/>
                <w:sz w:val="24"/>
                <w:szCs w:val="24"/>
              </w:rPr>
            </w:pPr>
            <w:r>
              <w:rPr>
                <w:rFonts w:hint="eastAsia" w:ascii="仿宋_GB2312" w:eastAsia="仿宋_GB2312" w:cs="仿宋_GB2312"/>
                <w:color w:val="000000"/>
                <w:sz w:val="24"/>
                <w:szCs w:val="24"/>
              </w:rPr>
              <w:t>月饼</w:t>
            </w:r>
          </w:p>
        </w:tc>
        <w:tc>
          <w:tcPr>
            <w:tcW w:w="2455" w:type="dxa"/>
            <w:vAlign w:val="center"/>
          </w:tcPr>
          <w:p>
            <w:pPr>
              <w:snapToGrid w:val="0"/>
              <w:spacing w:line="400" w:lineRule="exact"/>
              <w:rPr>
                <w:rFonts w:ascii="仿宋_GB2312" w:eastAsia="仿宋_GB2312" w:cs="仿宋_GB2312"/>
                <w:color w:val="000000"/>
                <w:sz w:val="24"/>
                <w:szCs w:val="24"/>
              </w:rPr>
            </w:pPr>
            <w:r>
              <w:rPr>
                <w:rFonts w:hint="eastAsia" w:ascii="仿宋_GB2312" w:hAnsi="仿宋_GB2312" w:eastAsia="仿宋_GB2312" w:cs="仿宋_GB2312"/>
                <w:color w:val="000000"/>
                <w:sz w:val="24"/>
                <w:szCs w:val="24"/>
              </w:rPr>
              <w:t>礼盒装，≥6种口味组合，商品毛重≥1.5kg</w:t>
            </w:r>
          </w:p>
        </w:tc>
        <w:tc>
          <w:tcPr>
            <w:tcW w:w="675" w:type="dxa"/>
            <w:vAlign w:val="center"/>
          </w:tcPr>
          <w:p>
            <w:pPr>
              <w:snapToGrid w:val="0"/>
              <w:spacing w:line="500" w:lineRule="exact"/>
              <w:jc w:val="center"/>
              <w:rPr>
                <w:rFonts w:ascii="仿宋_GB2312" w:eastAsia="仿宋_GB2312" w:cs="仿宋_GB2312"/>
                <w:color w:val="000000"/>
                <w:sz w:val="24"/>
                <w:szCs w:val="24"/>
              </w:rPr>
            </w:pPr>
          </w:p>
        </w:tc>
        <w:tc>
          <w:tcPr>
            <w:tcW w:w="889" w:type="dxa"/>
            <w:vAlign w:val="center"/>
          </w:tcPr>
          <w:p>
            <w:pPr>
              <w:snapToGrid w:val="0"/>
              <w:spacing w:line="400" w:lineRule="exact"/>
              <w:jc w:val="center"/>
              <w:rPr>
                <w:rFonts w:ascii="仿宋_GB2312" w:eastAsia="仿宋_GB2312" w:cs="仿宋_GB2312"/>
                <w:color w:val="000000"/>
                <w:sz w:val="24"/>
                <w:szCs w:val="24"/>
              </w:rPr>
            </w:pPr>
            <w:r>
              <w:rPr>
                <w:rFonts w:hint="eastAsia" w:ascii="仿宋_GB2312" w:eastAsia="仿宋_GB2312" w:cs="仿宋_GB2312"/>
                <w:color w:val="000000"/>
                <w:sz w:val="24"/>
                <w:szCs w:val="24"/>
              </w:rPr>
              <w:t>824</w:t>
            </w:r>
          </w:p>
        </w:tc>
        <w:tc>
          <w:tcPr>
            <w:tcW w:w="842" w:type="dxa"/>
            <w:vAlign w:val="center"/>
          </w:tcPr>
          <w:p>
            <w:pPr>
              <w:snapToGrid w:val="0"/>
              <w:spacing w:line="500" w:lineRule="exact"/>
              <w:jc w:val="center"/>
              <w:rPr>
                <w:rFonts w:ascii="仿宋_GB2312" w:eastAsia="仿宋_GB2312" w:cs="仿宋_GB2312"/>
                <w:color w:val="000000"/>
                <w:sz w:val="24"/>
                <w:szCs w:val="24"/>
              </w:rPr>
            </w:pPr>
          </w:p>
        </w:tc>
        <w:tc>
          <w:tcPr>
            <w:tcW w:w="813" w:type="dxa"/>
            <w:vAlign w:val="center"/>
          </w:tcPr>
          <w:p>
            <w:pPr>
              <w:snapToGrid w:val="0"/>
              <w:spacing w:line="500" w:lineRule="exact"/>
              <w:jc w:val="center"/>
              <w:rPr>
                <w:rFonts w:asci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5" w:type="dxa"/>
            <w:vAlign w:val="center"/>
          </w:tcPr>
          <w:p>
            <w:pPr>
              <w:snapToGrid w:val="0"/>
              <w:spacing w:line="500" w:lineRule="exact"/>
              <w:jc w:val="center"/>
              <w:rPr>
                <w:rFonts w:ascii="仿宋_GB2312" w:eastAsia="仿宋_GB2312" w:cs="仿宋_GB2312"/>
                <w:b/>
                <w:bCs/>
                <w:color w:val="000000"/>
                <w:sz w:val="24"/>
                <w:szCs w:val="24"/>
              </w:rPr>
            </w:pPr>
            <w:r>
              <w:rPr>
                <w:rFonts w:hint="eastAsia" w:ascii="仿宋_GB2312" w:eastAsia="仿宋_GB2312" w:cs="仿宋_GB2312"/>
                <w:b/>
                <w:bCs/>
                <w:color w:val="000000"/>
                <w:sz w:val="24"/>
                <w:szCs w:val="24"/>
              </w:rPr>
              <w:t>3</w:t>
            </w:r>
          </w:p>
        </w:tc>
        <w:tc>
          <w:tcPr>
            <w:tcW w:w="1600" w:type="dxa"/>
            <w:vAlign w:val="center"/>
          </w:tcPr>
          <w:p>
            <w:pPr>
              <w:snapToGrid w:val="0"/>
              <w:spacing w:line="500" w:lineRule="exact"/>
              <w:jc w:val="center"/>
              <w:rPr>
                <w:rFonts w:ascii="仿宋_GB2312" w:eastAsia="仿宋_GB2312" w:cs="仿宋_GB2312"/>
                <w:color w:val="000000"/>
                <w:sz w:val="24"/>
                <w:szCs w:val="24"/>
              </w:rPr>
            </w:pPr>
            <w:r>
              <w:rPr>
                <w:rFonts w:hint="eastAsia" w:ascii="仿宋_GB2312" w:eastAsia="仿宋_GB2312" w:cs="仿宋_GB2312"/>
                <w:color w:val="000000"/>
                <w:sz w:val="24"/>
                <w:szCs w:val="24"/>
              </w:rPr>
              <w:t>牛奶</w:t>
            </w:r>
          </w:p>
        </w:tc>
        <w:tc>
          <w:tcPr>
            <w:tcW w:w="2455" w:type="dxa"/>
            <w:vAlign w:val="center"/>
          </w:tcPr>
          <w:p>
            <w:pPr>
              <w:snapToGrid w:val="0"/>
              <w:spacing w:line="40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纯牛奶，箱装，单件容量为250ml</w:t>
            </w:r>
          </w:p>
        </w:tc>
        <w:tc>
          <w:tcPr>
            <w:tcW w:w="675" w:type="dxa"/>
            <w:vAlign w:val="center"/>
          </w:tcPr>
          <w:p>
            <w:pPr>
              <w:snapToGrid w:val="0"/>
              <w:spacing w:line="500" w:lineRule="exact"/>
              <w:jc w:val="center"/>
              <w:rPr>
                <w:rFonts w:ascii="仿宋_GB2312" w:eastAsia="仿宋_GB2312" w:cs="仿宋_GB2312"/>
                <w:color w:val="000000"/>
                <w:sz w:val="24"/>
                <w:szCs w:val="24"/>
              </w:rPr>
            </w:pPr>
          </w:p>
        </w:tc>
        <w:tc>
          <w:tcPr>
            <w:tcW w:w="889" w:type="dxa"/>
            <w:vAlign w:val="center"/>
          </w:tcPr>
          <w:p>
            <w:pPr>
              <w:jc w:val="center"/>
            </w:pPr>
            <w:r>
              <w:rPr>
                <w:rFonts w:hint="eastAsia" w:ascii="仿宋_GB2312" w:eastAsia="仿宋_GB2312" w:cs="仿宋_GB2312"/>
                <w:color w:val="000000"/>
                <w:sz w:val="24"/>
                <w:szCs w:val="24"/>
              </w:rPr>
              <w:t>824</w:t>
            </w:r>
          </w:p>
        </w:tc>
        <w:tc>
          <w:tcPr>
            <w:tcW w:w="842" w:type="dxa"/>
            <w:vAlign w:val="center"/>
          </w:tcPr>
          <w:p>
            <w:pPr>
              <w:snapToGrid w:val="0"/>
              <w:spacing w:line="500" w:lineRule="exact"/>
              <w:jc w:val="center"/>
              <w:rPr>
                <w:rFonts w:ascii="仿宋_GB2312" w:eastAsia="仿宋_GB2312" w:cs="仿宋_GB2312"/>
                <w:color w:val="000000"/>
                <w:sz w:val="24"/>
                <w:szCs w:val="24"/>
              </w:rPr>
            </w:pPr>
          </w:p>
        </w:tc>
        <w:tc>
          <w:tcPr>
            <w:tcW w:w="813" w:type="dxa"/>
            <w:vAlign w:val="center"/>
          </w:tcPr>
          <w:p>
            <w:pPr>
              <w:snapToGrid w:val="0"/>
              <w:spacing w:line="500" w:lineRule="exact"/>
              <w:jc w:val="center"/>
              <w:rPr>
                <w:rFonts w:asci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5" w:type="dxa"/>
            <w:vAlign w:val="center"/>
          </w:tcPr>
          <w:p>
            <w:pPr>
              <w:snapToGrid w:val="0"/>
              <w:spacing w:line="500" w:lineRule="exact"/>
              <w:jc w:val="center"/>
              <w:rPr>
                <w:rFonts w:ascii="仿宋_GB2312" w:eastAsia="仿宋_GB2312" w:cs="仿宋_GB2312"/>
                <w:b/>
                <w:bCs/>
                <w:color w:val="000000"/>
                <w:sz w:val="24"/>
                <w:szCs w:val="24"/>
              </w:rPr>
            </w:pPr>
            <w:r>
              <w:rPr>
                <w:rFonts w:hint="eastAsia" w:ascii="仿宋_GB2312" w:eastAsia="仿宋_GB2312" w:cs="仿宋_GB2312"/>
                <w:b/>
                <w:bCs/>
                <w:color w:val="000000"/>
                <w:sz w:val="24"/>
                <w:szCs w:val="24"/>
              </w:rPr>
              <w:t>4</w:t>
            </w:r>
          </w:p>
        </w:tc>
        <w:tc>
          <w:tcPr>
            <w:tcW w:w="1600" w:type="dxa"/>
            <w:vAlign w:val="center"/>
          </w:tcPr>
          <w:p>
            <w:pPr>
              <w:snapToGrid w:val="0"/>
              <w:spacing w:line="500" w:lineRule="exact"/>
              <w:jc w:val="center"/>
              <w:rPr>
                <w:rFonts w:ascii="仿宋_GB2312" w:eastAsia="仿宋_GB2312" w:cs="仿宋_GB2312"/>
                <w:color w:val="000000"/>
                <w:sz w:val="24"/>
                <w:szCs w:val="24"/>
              </w:rPr>
            </w:pPr>
            <w:r>
              <w:rPr>
                <w:rFonts w:hint="eastAsia" w:ascii="仿宋_GB2312" w:eastAsia="仿宋_GB2312" w:cs="仿宋_GB2312"/>
                <w:color w:val="000000"/>
                <w:sz w:val="24"/>
                <w:szCs w:val="24"/>
              </w:rPr>
              <w:t>橄榄油</w:t>
            </w:r>
          </w:p>
        </w:tc>
        <w:tc>
          <w:tcPr>
            <w:tcW w:w="2455" w:type="dxa"/>
            <w:vAlign w:val="center"/>
          </w:tcPr>
          <w:p>
            <w:pPr>
              <w:snapToGrid w:val="0"/>
              <w:spacing w:line="40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加工工艺为压榨，独立包装，净含量≥1L</w:t>
            </w:r>
          </w:p>
        </w:tc>
        <w:tc>
          <w:tcPr>
            <w:tcW w:w="675" w:type="dxa"/>
            <w:vAlign w:val="center"/>
          </w:tcPr>
          <w:p>
            <w:pPr>
              <w:snapToGrid w:val="0"/>
              <w:spacing w:line="500" w:lineRule="exact"/>
              <w:jc w:val="center"/>
              <w:rPr>
                <w:rFonts w:ascii="仿宋_GB2312" w:eastAsia="仿宋_GB2312" w:cs="仿宋_GB2312"/>
                <w:color w:val="000000"/>
                <w:sz w:val="24"/>
                <w:szCs w:val="24"/>
              </w:rPr>
            </w:pPr>
          </w:p>
        </w:tc>
        <w:tc>
          <w:tcPr>
            <w:tcW w:w="889" w:type="dxa"/>
            <w:vAlign w:val="center"/>
          </w:tcPr>
          <w:p>
            <w:pPr>
              <w:jc w:val="center"/>
            </w:pPr>
            <w:r>
              <w:rPr>
                <w:rFonts w:hint="eastAsia" w:ascii="仿宋_GB2312" w:eastAsia="仿宋_GB2312" w:cs="仿宋_GB2312"/>
                <w:color w:val="000000"/>
                <w:sz w:val="24"/>
                <w:szCs w:val="24"/>
              </w:rPr>
              <w:t>824</w:t>
            </w:r>
          </w:p>
        </w:tc>
        <w:tc>
          <w:tcPr>
            <w:tcW w:w="842" w:type="dxa"/>
            <w:vAlign w:val="center"/>
          </w:tcPr>
          <w:p>
            <w:pPr>
              <w:snapToGrid w:val="0"/>
              <w:spacing w:line="500" w:lineRule="exact"/>
              <w:jc w:val="center"/>
              <w:rPr>
                <w:rFonts w:ascii="仿宋_GB2312" w:eastAsia="仿宋_GB2312" w:cs="仿宋_GB2312"/>
                <w:color w:val="000000"/>
                <w:sz w:val="24"/>
                <w:szCs w:val="24"/>
              </w:rPr>
            </w:pPr>
          </w:p>
        </w:tc>
        <w:tc>
          <w:tcPr>
            <w:tcW w:w="813" w:type="dxa"/>
            <w:vAlign w:val="center"/>
          </w:tcPr>
          <w:p>
            <w:pPr>
              <w:snapToGrid w:val="0"/>
              <w:spacing w:line="500" w:lineRule="exact"/>
              <w:jc w:val="center"/>
              <w:rPr>
                <w:rFonts w:ascii="仿宋_GB2312" w:eastAsia="仿宋_GB2312" w:cs="仿宋_GB2312"/>
                <w:color w:val="000000"/>
                <w:sz w:val="24"/>
                <w:szCs w:val="24"/>
              </w:rPr>
            </w:pPr>
          </w:p>
        </w:tc>
      </w:tr>
    </w:tbl>
    <w:p>
      <w:pPr>
        <w:snapToGrid w:val="0"/>
        <w:spacing w:line="560" w:lineRule="exact"/>
        <w:ind w:firstLine="420" w:firstLineChars="150"/>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sz w:val="28"/>
          <w:szCs w:val="28"/>
        </w:rPr>
        <w:t>备注（上述4样为一份）：</w:t>
      </w:r>
    </w:p>
    <w:p>
      <w:pPr>
        <w:snapToGrid w:val="0"/>
        <w:spacing w:line="560" w:lineRule="exact"/>
        <w:ind w:firstLine="482" w:firstLineChars="150"/>
        <w:rPr>
          <w:rFonts w:hint="eastAsia" w:cs="仿宋_GB2312" w:asciiTheme="minorEastAsia" w:hAnsiTheme="minorEastAsia" w:eastAsiaTheme="minorEastAsia"/>
          <w:b/>
          <w:bCs/>
          <w:color w:val="000000"/>
          <w:sz w:val="32"/>
          <w:szCs w:val="32"/>
        </w:rPr>
      </w:pPr>
      <w:r>
        <w:rPr>
          <w:rFonts w:hint="eastAsia" w:cs="仿宋_GB2312" w:asciiTheme="minorEastAsia" w:hAnsiTheme="minorEastAsia" w:eastAsiaTheme="minorEastAsia"/>
          <w:b/>
          <w:bCs/>
          <w:color w:val="000000"/>
          <w:sz w:val="32"/>
          <w:szCs w:val="32"/>
        </w:rPr>
        <w:t>1、每份预算价为300元/份，合计824份。</w:t>
      </w:r>
    </w:p>
    <w:p>
      <w:pPr>
        <w:snapToGrid w:val="0"/>
        <w:spacing w:line="560" w:lineRule="exact"/>
        <w:ind w:firstLine="482" w:firstLineChars="150"/>
        <w:rPr>
          <w:rFonts w:hint="eastAsia" w:cs="仿宋_GB2312" w:asciiTheme="minorEastAsia" w:hAnsiTheme="minorEastAsia" w:eastAsiaTheme="minorEastAsia"/>
          <w:b/>
          <w:bCs/>
          <w:color w:val="000000"/>
          <w:sz w:val="32"/>
          <w:szCs w:val="32"/>
        </w:rPr>
      </w:pPr>
      <w:r>
        <w:rPr>
          <w:rFonts w:hint="eastAsia" w:cs="仿宋_GB2312" w:asciiTheme="minorEastAsia" w:hAnsiTheme="minorEastAsia" w:eastAsiaTheme="minorEastAsia"/>
          <w:b/>
          <w:bCs/>
          <w:color w:val="000000"/>
          <w:sz w:val="32"/>
          <w:szCs w:val="32"/>
        </w:rPr>
        <w:t>2、投标人必须承诺投标品牌必须选择市场普遍认可的名牌中选择,其中五谷杂粮必须为中秋节前2个月内</w:t>
      </w:r>
      <w:r>
        <w:rPr>
          <w:rFonts w:hint="eastAsia" w:cs="仿宋_GB2312" w:asciiTheme="minorEastAsia" w:hAnsiTheme="minorEastAsia" w:eastAsiaTheme="minorEastAsia"/>
          <w:b/>
          <w:bCs/>
          <w:color w:val="000000"/>
          <w:sz w:val="32"/>
          <w:szCs w:val="32"/>
          <w:lang w:eastAsia="zh-CN"/>
        </w:rPr>
        <w:t>生产</w:t>
      </w:r>
      <w:r>
        <w:rPr>
          <w:rFonts w:hint="eastAsia" w:cs="仿宋_GB2312" w:asciiTheme="minorEastAsia" w:hAnsiTheme="minorEastAsia" w:eastAsiaTheme="minorEastAsia"/>
          <w:b/>
          <w:bCs/>
          <w:color w:val="000000"/>
          <w:sz w:val="32"/>
          <w:szCs w:val="32"/>
        </w:rPr>
        <w:t>，月饼</w:t>
      </w:r>
      <w:r>
        <w:rPr>
          <w:rFonts w:hint="eastAsia" w:cs="仿宋_GB2312" w:asciiTheme="minorEastAsia" w:hAnsiTheme="minorEastAsia" w:eastAsiaTheme="minorEastAsia"/>
          <w:b/>
          <w:bCs/>
          <w:color w:val="000000"/>
          <w:sz w:val="32"/>
          <w:szCs w:val="32"/>
          <w:lang w:eastAsia="zh-CN"/>
        </w:rPr>
        <w:t>必须</w:t>
      </w:r>
      <w:r>
        <w:rPr>
          <w:rFonts w:hint="eastAsia" w:cs="仿宋_GB2312" w:asciiTheme="minorEastAsia" w:hAnsiTheme="minorEastAsia" w:eastAsiaTheme="minorEastAsia"/>
          <w:b/>
          <w:bCs/>
          <w:color w:val="000000"/>
          <w:sz w:val="32"/>
          <w:szCs w:val="32"/>
        </w:rPr>
        <w:t>为中秋节前15天内</w:t>
      </w:r>
      <w:r>
        <w:rPr>
          <w:rFonts w:hint="eastAsia" w:cs="仿宋_GB2312" w:asciiTheme="minorEastAsia" w:hAnsiTheme="minorEastAsia" w:eastAsiaTheme="minorEastAsia"/>
          <w:b/>
          <w:bCs/>
          <w:color w:val="000000"/>
          <w:sz w:val="32"/>
          <w:szCs w:val="32"/>
          <w:lang w:eastAsia="zh-CN"/>
        </w:rPr>
        <w:t>生产</w:t>
      </w:r>
      <w:r>
        <w:rPr>
          <w:rFonts w:hint="eastAsia" w:cs="仿宋_GB2312" w:asciiTheme="minorEastAsia" w:hAnsiTheme="minorEastAsia" w:eastAsiaTheme="minorEastAsia"/>
          <w:b/>
          <w:bCs/>
          <w:color w:val="000000"/>
          <w:sz w:val="32"/>
          <w:szCs w:val="32"/>
        </w:rPr>
        <w:t>，牛奶</w:t>
      </w:r>
      <w:r>
        <w:rPr>
          <w:rFonts w:hint="eastAsia" w:cs="仿宋_GB2312" w:asciiTheme="minorEastAsia" w:hAnsiTheme="minorEastAsia" w:eastAsiaTheme="minorEastAsia"/>
          <w:b/>
          <w:bCs/>
          <w:color w:val="000000"/>
          <w:sz w:val="32"/>
          <w:szCs w:val="32"/>
          <w:lang w:eastAsia="zh-CN"/>
        </w:rPr>
        <w:t>必须</w:t>
      </w:r>
      <w:r>
        <w:rPr>
          <w:rFonts w:hint="eastAsia" w:cs="仿宋_GB2312" w:asciiTheme="minorEastAsia" w:hAnsiTheme="minorEastAsia" w:eastAsiaTheme="minorEastAsia"/>
          <w:b/>
          <w:bCs/>
          <w:color w:val="000000"/>
          <w:sz w:val="32"/>
          <w:szCs w:val="32"/>
        </w:rPr>
        <w:t>为中秋节前2个月内</w:t>
      </w:r>
      <w:r>
        <w:rPr>
          <w:rFonts w:hint="eastAsia" w:cs="仿宋_GB2312" w:asciiTheme="minorEastAsia" w:hAnsiTheme="minorEastAsia" w:eastAsiaTheme="minorEastAsia"/>
          <w:b/>
          <w:bCs/>
          <w:color w:val="000000"/>
          <w:sz w:val="32"/>
          <w:szCs w:val="32"/>
          <w:lang w:eastAsia="zh-CN"/>
        </w:rPr>
        <w:t>生产</w:t>
      </w:r>
      <w:r>
        <w:rPr>
          <w:rFonts w:hint="eastAsia" w:cs="仿宋_GB2312" w:asciiTheme="minorEastAsia" w:hAnsiTheme="minorEastAsia" w:eastAsiaTheme="minorEastAsia"/>
          <w:b/>
          <w:bCs/>
          <w:color w:val="000000"/>
          <w:sz w:val="32"/>
          <w:szCs w:val="32"/>
        </w:rPr>
        <w:t>，橄榄油</w:t>
      </w:r>
      <w:r>
        <w:rPr>
          <w:rFonts w:hint="eastAsia" w:cs="仿宋_GB2312" w:asciiTheme="minorEastAsia" w:hAnsiTheme="minorEastAsia" w:eastAsiaTheme="minorEastAsia"/>
          <w:b/>
          <w:bCs/>
          <w:color w:val="000000"/>
          <w:sz w:val="32"/>
          <w:szCs w:val="32"/>
          <w:lang w:eastAsia="zh-CN"/>
        </w:rPr>
        <w:t>必须为</w:t>
      </w:r>
      <w:r>
        <w:rPr>
          <w:rFonts w:hint="eastAsia" w:cs="仿宋_GB2312" w:asciiTheme="minorEastAsia" w:hAnsiTheme="minorEastAsia" w:eastAsiaTheme="minorEastAsia"/>
          <w:b/>
          <w:bCs/>
          <w:color w:val="000000"/>
          <w:sz w:val="32"/>
          <w:szCs w:val="32"/>
          <w:lang w:val="en-US" w:eastAsia="zh-CN"/>
        </w:rPr>
        <w:t>中</w:t>
      </w:r>
      <w:r>
        <w:rPr>
          <w:rFonts w:hint="eastAsia" w:cs="仿宋_GB2312" w:asciiTheme="minorEastAsia" w:hAnsiTheme="minorEastAsia" w:eastAsiaTheme="minorEastAsia"/>
          <w:b/>
          <w:bCs/>
          <w:color w:val="000000"/>
          <w:sz w:val="32"/>
          <w:szCs w:val="32"/>
        </w:rPr>
        <w:t>秋节前10个月内</w:t>
      </w:r>
      <w:r>
        <w:rPr>
          <w:rFonts w:hint="eastAsia" w:cs="仿宋_GB2312" w:asciiTheme="minorEastAsia" w:hAnsiTheme="minorEastAsia" w:eastAsiaTheme="minorEastAsia"/>
          <w:b/>
          <w:bCs/>
          <w:color w:val="000000"/>
          <w:sz w:val="32"/>
          <w:szCs w:val="32"/>
          <w:lang w:eastAsia="zh-CN"/>
        </w:rPr>
        <w:t>生产</w:t>
      </w:r>
      <w:r>
        <w:rPr>
          <w:rFonts w:hint="eastAsia" w:cs="仿宋_GB2312" w:asciiTheme="minorEastAsia" w:hAnsiTheme="minorEastAsia" w:eastAsiaTheme="minorEastAsia"/>
          <w:b/>
          <w:bCs/>
          <w:color w:val="000000"/>
          <w:sz w:val="32"/>
          <w:szCs w:val="32"/>
        </w:rPr>
        <w:t>，否则将不作中标候选人推荐。如</w:t>
      </w:r>
      <w:bookmarkStart w:id="0" w:name="_GoBack"/>
      <w:bookmarkEnd w:id="0"/>
      <w:r>
        <w:rPr>
          <w:rFonts w:hint="eastAsia" w:cs="仿宋_GB2312" w:asciiTheme="minorEastAsia" w:hAnsiTheme="minorEastAsia" w:eastAsiaTheme="minorEastAsia"/>
          <w:b/>
          <w:bCs/>
          <w:color w:val="000000"/>
          <w:sz w:val="32"/>
          <w:szCs w:val="32"/>
        </w:rPr>
        <w:t>中标，在供货时不按约定生产日期供货，将扣除履约保证金。</w:t>
      </w:r>
    </w:p>
    <w:p>
      <w:pPr>
        <w:snapToGrid w:val="0"/>
        <w:spacing w:line="560" w:lineRule="exact"/>
        <w:ind w:firstLine="482" w:firstLineChars="150"/>
        <w:rPr>
          <w:rFonts w:hint="eastAsia" w:cs="仿宋_GB2312" w:asciiTheme="minorEastAsia" w:hAnsiTheme="minorEastAsia" w:eastAsiaTheme="minorEastAsia"/>
          <w:b/>
          <w:bCs/>
          <w:color w:val="000000"/>
          <w:sz w:val="32"/>
          <w:szCs w:val="32"/>
        </w:rPr>
      </w:pPr>
      <w:r>
        <w:rPr>
          <w:rFonts w:hint="eastAsia" w:cs="仿宋_GB2312" w:asciiTheme="minorEastAsia" w:hAnsiTheme="minorEastAsia" w:eastAsiaTheme="minorEastAsia"/>
          <w:b/>
          <w:bCs/>
          <w:color w:val="000000"/>
          <w:sz w:val="32"/>
          <w:szCs w:val="32"/>
        </w:rPr>
        <w:t>3、中标单位须按要求制作好实物提货券，招标人将根据中标人中标价，结合预算价，确定每份提货券项目具体数量（824的整数倍），中标人要保证我校教职工在2018年中秋节前3日内可以提到货。</w:t>
      </w:r>
    </w:p>
    <w:p>
      <w:pPr>
        <w:snapToGrid w:val="0"/>
        <w:spacing w:line="560" w:lineRule="exact"/>
        <w:ind w:firstLine="482" w:firstLineChars="150"/>
        <w:rPr>
          <w:rFonts w:cs="仿宋_GB2312" w:asciiTheme="minorEastAsia" w:hAnsiTheme="minorEastAsia" w:eastAsiaTheme="minorEastAsia"/>
          <w:b/>
          <w:bCs/>
          <w:color w:val="000000"/>
          <w:sz w:val="32"/>
          <w:szCs w:val="32"/>
        </w:rPr>
      </w:pPr>
      <w:r>
        <w:rPr>
          <w:rFonts w:hint="eastAsia" w:cs="仿宋_GB2312" w:asciiTheme="minorEastAsia" w:hAnsiTheme="minorEastAsia" w:eastAsiaTheme="minorEastAsia"/>
          <w:b/>
          <w:bCs/>
          <w:color w:val="000000"/>
          <w:sz w:val="32"/>
          <w:szCs w:val="32"/>
        </w:rPr>
        <w:t>4、如中标单位在签订合同后不能正常履行合同，或投标时或合同执行过程中有弄虚作假行为、有教职工投诉或食用时发生安全质量等问题，履约保证金不予退还，退一赔十，并保留提起法律诉讼的权利。</w:t>
      </w:r>
    </w:p>
    <w:p>
      <w:pPr>
        <w:snapToGrid w:val="0"/>
        <w:spacing w:line="560" w:lineRule="exact"/>
        <w:ind w:firstLine="482" w:firstLineChars="150"/>
        <w:rPr>
          <w:rFonts w:cs="仿宋_GB2312" w:asciiTheme="minorEastAsia" w:hAnsiTheme="minorEastAsia" w:eastAsiaTheme="minorEastAsia"/>
          <w:b/>
          <w:bCs/>
          <w:color w:val="000000"/>
          <w:sz w:val="32"/>
          <w:szCs w:val="32"/>
        </w:rPr>
      </w:pPr>
      <w:r>
        <w:rPr>
          <w:rFonts w:hint="eastAsia" w:cs="仿宋_GB2312" w:asciiTheme="minorEastAsia" w:hAnsiTheme="minorEastAsia" w:eastAsiaTheme="minorEastAsia"/>
          <w:b/>
          <w:bCs/>
          <w:color w:val="000000"/>
          <w:sz w:val="32"/>
          <w:szCs w:val="32"/>
        </w:rPr>
        <w:t>5、投标人须将所投产品的样品自行带至开标现场，</w:t>
      </w:r>
      <w:r>
        <w:rPr>
          <w:rFonts w:hint="eastAsia" w:cs="仿宋_GB2312" w:asciiTheme="minorEastAsia" w:hAnsiTheme="minorEastAsia" w:eastAsiaTheme="minorEastAsia"/>
          <w:b/>
          <w:bCs/>
          <w:color w:val="000000"/>
          <w:sz w:val="32"/>
          <w:szCs w:val="32"/>
          <w:u w:val="single"/>
        </w:rPr>
        <w:t>特别注意，不得在样品上标注投标人任何信息，如有标记则取消投标人资格，样品信息招标人将进行编号登记。</w:t>
      </w:r>
    </w:p>
    <w:p>
      <w:pPr>
        <w:spacing w:line="560" w:lineRule="exact"/>
        <w:ind w:firstLine="562" w:firstLineChars="200"/>
        <w:rPr>
          <w:rFonts w:cs="黑体" w:asciiTheme="minorEastAsia" w:hAnsiTheme="minorEastAsia" w:eastAsiaTheme="minorEastAsia"/>
          <w:b/>
          <w:bCs/>
          <w:sz w:val="28"/>
          <w:szCs w:val="28"/>
        </w:rPr>
      </w:pPr>
      <w:r>
        <w:rPr>
          <w:rFonts w:hint="eastAsia" w:cs="黑体" w:asciiTheme="minorEastAsia" w:hAnsiTheme="minorEastAsia" w:eastAsiaTheme="minorEastAsia"/>
          <w:b/>
          <w:bCs/>
          <w:sz w:val="28"/>
          <w:szCs w:val="28"/>
        </w:rPr>
        <w:t>二、投标人须具备的资格条件</w:t>
      </w:r>
    </w:p>
    <w:p>
      <w:pPr>
        <w:snapToGrid w:val="0"/>
        <w:spacing w:line="560" w:lineRule="exact"/>
        <w:ind w:firstLine="420" w:firstLineChars="150"/>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sz w:val="28"/>
          <w:szCs w:val="28"/>
        </w:rPr>
        <w:t>1.在中华人民共和国境内注册，符合《中华人民共和国政府招标法》第二十二条之规定。</w:t>
      </w:r>
    </w:p>
    <w:p>
      <w:pPr>
        <w:snapToGrid w:val="0"/>
        <w:spacing w:line="560" w:lineRule="exact"/>
        <w:ind w:firstLine="420" w:firstLineChars="150"/>
        <w:rPr>
          <w:rFonts w:hint="eastAsia" w:cs="仿宋_GB2312" w:asciiTheme="minorEastAsia" w:hAnsiTheme="minorEastAsia" w:eastAsiaTheme="minorEastAsia"/>
          <w:color w:val="000000"/>
          <w:sz w:val="28"/>
          <w:szCs w:val="28"/>
          <w:lang w:eastAsia="zh-CN"/>
        </w:rPr>
      </w:pPr>
      <w:r>
        <w:rPr>
          <w:rFonts w:hint="eastAsia" w:cs="仿宋_GB2312" w:asciiTheme="minorEastAsia" w:hAnsiTheme="minorEastAsia" w:eastAsiaTheme="minorEastAsia"/>
          <w:color w:val="000000"/>
          <w:sz w:val="28"/>
          <w:szCs w:val="28"/>
        </w:rPr>
        <w:t>2.投标人必须具有独立承担民事责任的能力,</w:t>
      </w:r>
      <w:r>
        <w:rPr>
          <w:rFonts w:hint="eastAsia" w:cs="仿宋_GB2312" w:asciiTheme="minorEastAsia" w:hAnsiTheme="minorEastAsia" w:eastAsiaTheme="minorEastAsia"/>
          <w:color w:val="000000"/>
          <w:sz w:val="28"/>
          <w:szCs w:val="28"/>
          <w:lang w:val="en-US" w:eastAsia="zh-CN"/>
        </w:rPr>
        <w:t>为独立法人，</w:t>
      </w:r>
      <w:r>
        <w:rPr>
          <w:rFonts w:hint="eastAsia" w:cs="仿宋_GB2312" w:asciiTheme="minorEastAsia" w:hAnsiTheme="minorEastAsia" w:eastAsiaTheme="minorEastAsia"/>
          <w:color w:val="000000"/>
          <w:sz w:val="28"/>
          <w:szCs w:val="28"/>
        </w:rPr>
        <w:t>具有三证合一的营业执照，经营范围与本次招标项目相关</w:t>
      </w:r>
      <w:r>
        <w:rPr>
          <w:rFonts w:hint="eastAsia" w:cs="仿宋_GB2312" w:asciiTheme="minorEastAsia" w:hAnsiTheme="minorEastAsia" w:eastAsiaTheme="minorEastAsia"/>
          <w:color w:val="000000"/>
          <w:sz w:val="28"/>
          <w:szCs w:val="28"/>
          <w:lang w:eastAsia="zh-CN"/>
        </w:rPr>
        <w:t>。</w:t>
      </w:r>
    </w:p>
    <w:p>
      <w:pPr>
        <w:snapToGrid w:val="0"/>
        <w:spacing w:line="360" w:lineRule="auto"/>
        <w:ind w:firstLine="560" w:firstLineChars="200"/>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sz w:val="28"/>
          <w:szCs w:val="28"/>
        </w:rPr>
        <w:t>3.投标人</w:t>
      </w:r>
      <w:r>
        <w:rPr>
          <w:rFonts w:hint="eastAsia" w:cs="仿宋_GB2312" w:asciiTheme="minorEastAsia" w:hAnsiTheme="minorEastAsia" w:eastAsiaTheme="minorEastAsia"/>
          <w:b/>
          <w:bCs/>
          <w:color w:val="000000"/>
          <w:sz w:val="32"/>
          <w:szCs w:val="32"/>
        </w:rPr>
        <w:t>报名和开标时</w:t>
      </w:r>
      <w:r>
        <w:rPr>
          <w:rFonts w:hint="eastAsia" w:cs="仿宋_GB2312" w:asciiTheme="minorEastAsia" w:hAnsiTheme="minorEastAsia" w:eastAsiaTheme="minorEastAsia"/>
          <w:color w:val="000000"/>
          <w:sz w:val="28"/>
          <w:szCs w:val="28"/>
        </w:rPr>
        <w:t>必须携带有效期内</w:t>
      </w:r>
      <w:r>
        <w:rPr>
          <w:rFonts w:hint="eastAsia" w:cs="仿宋_GB2312" w:asciiTheme="minorEastAsia" w:hAnsiTheme="minorEastAsia" w:eastAsiaTheme="minorEastAsia"/>
          <w:b/>
          <w:bCs/>
          <w:color w:val="000000"/>
          <w:sz w:val="28"/>
          <w:szCs w:val="28"/>
          <w:u w:val="single"/>
        </w:rPr>
        <w:t>食品经营许可证或者有效期内食品流通许可证（复印件盖公章和原件）、有效的三证合一营业执照原件（复印件盖公章）、法定代表人（盖章）的授权委托书、法定代表人身份证复印件（盖单位公章）、法定代表人身份证原件（委托的就携带法定代表人授权的委托人的身份证原件，复印件盖单位公章）。</w:t>
      </w:r>
    </w:p>
    <w:p>
      <w:pPr>
        <w:snapToGrid w:val="0"/>
        <w:spacing w:line="560" w:lineRule="exact"/>
        <w:ind w:firstLine="420" w:firstLineChars="150"/>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sz w:val="28"/>
          <w:szCs w:val="28"/>
        </w:rPr>
        <w:t>4.投标人未处于投标资格被取消或者财产被接管、冻结和破产状态；没有因骗取中标或严重违约以及发生重大质量、安全生产事故等问题被有关部门暂停投标资格并在暂停期内的。</w:t>
      </w:r>
    </w:p>
    <w:p>
      <w:pPr>
        <w:snapToGrid w:val="0"/>
        <w:spacing w:line="560" w:lineRule="exact"/>
        <w:ind w:firstLine="560" w:firstLineChars="200"/>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sz w:val="28"/>
          <w:szCs w:val="28"/>
        </w:rPr>
        <w:t>5.本项目不接受联合体投标，法定代表人为同一人或者存在直接控股、管理关系的不同投标人，不得同时参加本项目投标。</w:t>
      </w:r>
    </w:p>
    <w:p>
      <w:pPr>
        <w:spacing w:line="560" w:lineRule="exact"/>
        <w:ind w:firstLine="562" w:firstLineChars="200"/>
        <w:rPr>
          <w:rFonts w:cs="黑体" w:asciiTheme="minorEastAsia" w:hAnsiTheme="minorEastAsia" w:eastAsiaTheme="minorEastAsia"/>
          <w:b/>
          <w:bCs/>
          <w:sz w:val="28"/>
          <w:szCs w:val="28"/>
        </w:rPr>
      </w:pPr>
      <w:r>
        <w:rPr>
          <w:rFonts w:hint="eastAsia" w:cs="黑体" w:asciiTheme="minorEastAsia" w:hAnsiTheme="minorEastAsia" w:eastAsiaTheme="minorEastAsia"/>
          <w:b/>
          <w:bCs/>
          <w:sz w:val="28"/>
          <w:szCs w:val="28"/>
        </w:rPr>
        <w:t>三、招标内容及要求</w:t>
      </w:r>
    </w:p>
    <w:p>
      <w:pPr>
        <w:ind w:firstLine="560" w:firstLineChars="200"/>
        <w:rPr>
          <w:rFonts w:cs="仿宋_GB2312" w:asciiTheme="minorEastAsia" w:hAnsiTheme="minorEastAsia" w:eastAsiaTheme="minorEastAsia"/>
          <w:kern w:val="0"/>
          <w:sz w:val="28"/>
          <w:szCs w:val="28"/>
        </w:rPr>
      </w:pPr>
      <w:r>
        <w:rPr>
          <w:rFonts w:hint="eastAsia" w:cs="仿宋_GB2312" w:asciiTheme="minorEastAsia" w:hAnsiTheme="minorEastAsia" w:eastAsiaTheme="minorEastAsia"/>
          <w:kern w:val="0"/>
          <w:sz w:val="28"/>
          <w:szCs w:val="28"/>
        </w:rPr>
        <w:t>1．招标内容：月饼、五谷杂粮、牛奶、橄榄油等。</w:t>
      </w:r>
    </w:p>
    <w:p>
      <w:pPr>
        <w:spacing w:line="560" w:lineRule="exact"/>
        <w:ind w:firstLine="560" w:firstLineChars="200"/>
        <w:rPr>
          <w:rFonts w:cs="仿宋_GB2312" w:asciiTheme="minorEastAsia" w:hAnsiTheme="minorEastAsia" w:eastAsiaTheme="minorEastAsia"/>
          <w:kern w:val="0"/>
          <w:sz w:val="28"/>
          <w:szCs w:val="28"/>
        </w:rPr>
      </w:pPr>
      <w:r>
        <w:rPr>
          <w:rFonts w:hint="eastAsia" w:cs="仿宋_GB2312" w:asciiTheme="minorEastAsia" w:hAnsiTheme="minorEastAsia" w:eastAsiaTheme="minorEastAsia"/>
          <w:kern w:val="0"/>
          <w:sz w:val="28"/>
          <w:szCs w:val="28"/>
        </w:rPr>
        <w:t>2．质量标准：合格，按国家质量认证体系标准。</w:t>
      </w:r>
    </w:p>
    <w:p>
      <w:pPr>
        <w:spacing w:line="560" w:lineRule="exact"/>
        <w:ind w:firstLine="562" w:firstLineChars="200"/>
        <w:rPr>
          <w:rFonts w:cs="仿宋_GB2312" w:asciiTheme="minorEastAsia" w:hAnsiTheme="minorEastAsia" w:eastAsiaTheme="minorEastAsia"/>
          <w:b/>
          <w:bCs/>
          <w:kern w:val="0"/>
          <w:sz w:val="28"/>
          <w:szCs w:val="28"/>
          <w:u w:val="single"/>
        </w:rPr>
      </w:pPr>
      <w:r>
        <w:rPr>
          <w:rFonts w:hint="eastAsia" w:cs="仿宋_GB2312" w:asciiTheme="minorEastAsia" w:hAnsiTheme="minorEastAsia" w:eastAsiaTheme="minorEastAsia"/>
          <w:b/>
          <w:bCs/>
          <w:kern w:val="0"/>
          <w:sz w:val="28"/>
          <w:szCs w:val="28"/>
          <w:u w:val="single"/>
        </w:rPr>
        <w:t>3．预算金额：24.72万元。</w:t>
      </w:r>
    </w:p>
    <w:p>
      <w:pPr>
        <w:spacing w:line="560" w:lineRule="exact"/>
        <w:ind w:firstLine="562" w:firstLineChars="200"/>
        <w:rPr>
          <w:rFonts w:cs="黑体" w:asciiTheme="minorEastAsia" w:hAnsiTheme="minorEastAsia" w:eastAsiaTheme="minorEastAsia"/>
          <w:b/>
          <w:bCs/>
          <w:sz w:val="28"/>
          <w:szCs w:val="28"/>
        </w:rPr>
      </w:pPr>
      <w:r>
        <w:rPr>
          <w:rFonts w:hint="eastAsia" w:cs="黑体" w:asciiTheme="minorEastAsia" w:hAnsiTheme="minorEastAsia" w:eastAsiaTheme="minorEastAsia"/>
          <w:b/>
          <w:bCs/>
          <w:sz w:val="28"/>
          <w:szCs w:val="28"/>
        </w:rPr>
        <w:t>四、投标保证金及履约保证金</w:t>
      </w:r>
    </w:p>
    <w:p>
      <w:pPr>
        <w:spacing w:line="360" w:lineRule="auto"/>
        <w:ind w:firstLine="560" w:firstLineChars="200"/>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sz w:val="28"/>
          <w:szCs w:val="28"/>
        </w:rPr>
        <w:t>1.本项目投标保证金为</w:t>
      </w:r>
      <w:r>
        <w:rPr>
          <w:rFonts w:hint="eastAsia" w:cs="仿宋_GB2312" w:asciiTheme="minorEastAsia" w:hAnsiTheme="minorEastAsia" w:eastAsiaTheme="minorEastAsia"/>
          <w:b/>
          <w:color w:val="000000"/>
          <w:sz w:val="28"/>
          <w:szCs w:val="28"/>
        </w:rPr>
        <w:t>人民币</w:t>
      </w:r>
      <w:r>
        <w:rPr>
          <w:rFonts w:hint="eastAsia" w:cs="仿宋_GB2312" w:asciiTheme="minorEastAsia" w:hAnsiTheme="minorEastAsia" w:eastAsiaTheme="minorEastAsia"/>
          <w:b/>
          <w:color w:val="000000"/>
          <w:sz w:val="28"/>
          <w:szCs w:val="28"/>
          <w:u w:val="single"/>
        </w:rPr>
        <w:t>10000元</w:t>
      </w:r>
      <w:r>
        <w:rPr>
          <w:rFonts w:hint="eastAsia" w:cs="仿宋_GB2312" w:asciiTheme="minorEastAsia" w:hAnsiTheme="minorEastAsia" w:eastAsiaTheme="minorEastAsia"/>
          <w:color w:val="000000"/>
          <w:sz w:val="28"/>
          <w:szCs w:val="28"/>
        </w:rPr>
        <w:t>，投标保证金为银行本票或银行汇票形式，投标人未能按上述要求提交投标保证金的，招标人将视其为不响应投标而予以拒绝。</w:t>
      </w:r>
    </w:p>
    <w:p>
      <w:pPr>
        <w:spacing w:line="560" w:lineRule="exact"/>
        <w:ind w:firstLine="560" w:firstLineChars="200"/>
        <w:rPr>
          <w:rFonts w:cs="仿宋_GB2312" w:asciiTheme="minorEastAsia" w:hAnsiTheme="minorEastAsia" w:eastAsiaTheme="minorEastAsia"/>
          <w:color w:val="000000" w:themeColor="text1"/>
          <w:sz w:val="28"/>
          <w:szCs w:val="28"/>
          <w14:textFill>
            <w14:solidFill>
              <w14:schemeClr w14:val="tx1"/>
            </w14:solidFill>
          </w14:textFill>
        </w:rPr>
      </w:pPr>
      <w:r>
        <w:rPr>
          <w:rFonts w:hint="eastAsia" w:cs="仿宋_GB2312" w:asciiTheme="minorEastAsia" w:hAnsiTheme="minorEastAsia" w:eastAsiaTheme="minorEastAsia"/>
          <w:color w:val="000000" w:themeColor="text1"/>
          <w:sz w:val="28"/>
          <w:szCs w:val="28"/>
          <w14:textFill>
            <w14:solidFill>
              <w14:schemeClr w14:val="tx1"/>
            </w14:solidFill>
          </w14:textFill>
        </w:rPr>
        <w:t>2.投标保证金核验方式为：投标文件递交的同时，投标单位将本票直接提交给投标文件接收人员。未按上述要求提交保证金交款凭据的，投标文件将不予接收。</w:t>
      </w:r>
    </w:p>
    <w:p>
      <w:pPr>
        <w:adjustRightInd w:val="0"/>
        <w:snapToGrid w:val="0"/>
        <w:spacing w:line="560" w:lineRule="exact"/>
        <w:ind w:firstLine="560" w:firstLineChars="200"/>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sz w:val="28"/>
          <w:szCs w:val="28"/>
        </w:rPr>
        <w:t>3.若中标，投标保证金转为履约保证金(与投标保证金金额一致), 投标保证金在合同签订履约后无息退还；未中标单位现场退还投标保证金（无息退还）。</w:t>
      </w:r>
    </w:p>
    <w:p>
      <w:pPr>
        <w:shd w:val="clear" w:color="auto" w:fill="FFFFFF"/>
        <w:spacing w:line="560" w:lineRule="exact"/>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color w:val="000000"/>
          <w:sz w:val="28"/>
          <w:szCs w:val="28"/>
        </w:rPr>
        <w:t>4.</w:t>
      </w:r>
      <w:r>
        <w:rPr>
          <w:rFonts w:hint="eastAsia" w:cs="仿宋_GB2312" w:asciiTheme="minorEastAsia" w:hAnsiTheme="minorEastAsia" w:eastAsiaTheme="minorEastAsia"/>
          <w:sz w:val="28"/>
          <w:szCs w:val="28"/>
        </w:rPr>
        <w:t>除不可抗力情况外，投标人</w:t>
      </w:r>
      <w:r>
        <w:rPr>
          <w:rFonts w:hint="eastAsia" w:cs="仿宋_GB2312" w:asciiTheme="minorEastAsia" w:hAnsiTheme="minorEastAsia" w:eastAsiaTheme="minorEastAsia"/>
          <w:color w:val="000000"/>
          <w:sz w:val="28"/>
          <w:szCs w:val="28"/>
        </w:rPr>
        <w:t>发生下列任何情况之一，投标保证金将被没收，</w:t>
      </w:r>
      <w:r>
        <w:rPr>
          <w:rFonts w:hint="eastAsia" w:cs="仿宋_GB2312" w:asciiTheme="minorEastAsia" w:hAnsiTheme="minorEastAsia" w:eastAsiaTheme="minorEastAsia"/>
          <w:sz w:val="28"/>
          <w:szCs w:val="28"/>
        </w:rPr>
        <w:t>给招标人造成的损失超过投标保证金或履约保证金数额的，中标人还应当对超过部分予以赔偿：</w:t>
      </w:r>
    </w:p>
    <w:p>
      <w:pPr>
        <w:adjustRightInd w:val="0"/>
        <w:snapToGrid w:val="0"/>
        <w:spacing w:line="560" w:lineRule="exact"/>
        <w:ind w:firstLine="560" w:firstLineChars="200"/>
        <w:jc w:val="left"/>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sz w:val="28"/>
          <w:szCs w:val="28"/>
        </w:rPr>
        <w:t>（1）投标人在投标有效期内撤回其投标；</w:t>
      </w:r>
    </w:p>
    <w:p>
      <w:pPr>
        <w:adjustRightInd w:val="0"/>
        <w:snapToGrid w:val="0"/>
        <w:spacing w:line="560" w:lineRule="exact"/>
        <w:ind w:firstLine="560" w:firstLineChars="200"/>
        <w:jc w:val="left"/>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sz w:val="28"/>
          <w:szCs w:val="28"/>
        </w:rPr>
        <w:t>（2）中标人在规定期限内未签订合同；</w:t>
      </w:r>
    </w:p>
    <w:p>
      <w:pPr>
        <w:adjustRightInd w:val="0"/>
        <w:snapToGrid w:val="0"/>
        <w:spacing w:line="560" w:lineRule="exact"/>
        <w:ind w:firstLine="560" w:firstLineChars="200"/>
        <w:jc w:val="left"/>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sz w:val="28"/>
          <w:szCs w:val="28"/>
        </w:rPr>
        <w:t>（3）投标人提供的有关资料、资格证书被确认是不真实的；</w:t>
      </w:r>
    </w:p>
    <w:p>
      <w:pPr>
        <w:adjustRightInd w:val="0"/>
        <w:snapToGrid w:val="0"/>
        <w:spacing w:line="560" w:lineRule="exact"/>
        <w:ind w:firstLine="560" w:firstLineChars="200"/>
        <w:jc w:val="left"/>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sz w:val="28"/>
          <w:szCs w:val="28"/>
        </w:rPr>
        <w:t>（4）投标人被证明有妨碍其他人公平竞争、损害招标人或者其他投标人合法权益的；</w:t>
      </w:r>
    </w:p>
    <w:p>
      <w:pPr>
        <w:adjustRightInd w:val="0"/>
        <w:snapToGrid w:val="0"/>
        <w:spacing w:line="56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color w:val="000000"/>
          <w:sz w:val="28"/>
          <w:szCs w:val="28"/>
        </w:rPr>
        <w:t>（5）</w:t>
      </w:r>
      <w:r>
        <w:rPr>
          <w:rFonts w:hint="eastAsia" w:cs="仿宋_GB2312" w:asciiTheme="minorEastAsia" w:hAnsiTheme="minorEastAsia" w:eastAsiaTheme="minorEastAsia"/>
          <w:sz w:val="28"/>
          <w:szCs w:val="28"/>
        </w:rPr>
        <w:t>投标人故意捏造事实或伪造证明材料，进行虚假恶意投诉或反映的</w:t>
      </w:r>
      <w:r>
        <w:rPr>
          <w:rFonts w:hint="eastAsia" w:cs="仿宋_GB2312" w:asciiTheme="minorEastAsia" w:hAnsiTheme="minorEastAsia" w:eastAsiaTheme="minorEastAsia"/>
          <w:color w:val="000000"/>
          <w:sz w:val="28"/>
          <w:szCs w:val="28"/>
        </w:rPr>
        <w:t>。</w:t>
      </w:r>
    </w:p>
    <w:p>
      <w:pPr>
        <w:spacing w:line="560" w:lineRule="exact"/>
        <w:ind w:firstLine="560" w:firstLineChars="200"/>
        <w:rPr>
          <w:rFonts w:cs="黑体" w:asciiTheme="minorEastAsia" w:hAnsiTheme="minorEastAsia" w:eastAsiaTheme="minorEastAsia"/>
          <w:b/>
          <w:bCs/>
          <w:sz w:val="28"/>
          <w:szCs w:val="28"/>
        </w:rPr>
      </w:pPr>
      <w:r>
        <w:rPr>
          <w:rFonts w:hint="eastAsia" w:cs="仿宋_GB2312" w:asciiTheme="minorEastAsia" w:hAnsiTheme="minorEastAsia" w:eastAsiaTheme="minorEastAsia"/>
          <w:sz w:val="28"/>
          <w:szCs w:val="28"/>
        </w:rPr>
        <w:t>5.履约保证金的退还：按合同要求制作提货券并供货，供货期满后全额退还。</w:t>
      </w:r>
    </w:p>
    <w:p>
      <w:pPr>
        <w:spacing w:line="560" w:lineRule="exact"/>
        <w:ind w:firstLine="562" w:firstLineChars="200"/>
        <w:rPr>
          <w:rFonts w:cs="黑体" w:asciiTheme="minorEastAsia" w:hAnsiTheme="minorEastAsia" w:eastAsiaTheme="minorEastAsia"/>
          <w:b/>
          <w:bCs/>
          <w:sz w:val="28"/>
          <w:szCs w:val="28"/>
        </w:rPr>
      </w:pPr>
      <w:r>
        <w:rPr>
          <w:rFonts w:hint="eastAsia" w:cs="黑体" w:asciiTheme="minorEastAsia" w:hAnsiTheme="minorEastAsia" w:eastAsiaTheme="minorEastAsia"/>
          <w:b/>
          <w:bCs/>
          <w:sz w:val="28"/>
          <w:szCs w:val="28"/>
        </w:rPr>
        <w:t>五、报名、招标文件发售、投标文件递交截止时间、开标时间及地点、质询</w:t>
      </w:r>
    </w:p>
    <w:p>
      <w:pPr>
        <w:shd w:val="clear" w:color="auto" w:fill="FFFFFF"/>
        <w:spacing w:line="560" w:lineRule="exact"/>
        <w:ind w:firstLine="560" w:firstLineChars="200"/>
        <w:rPr>
          <w:rFonts w:cs="仿宋_GB2312" w:asciiTheme="minorEastAsia" w:hAnsiTheme="minorEastAsia" w:eastAsiaTheme="minorEastAsia"/>
          <w:color w:val="000000" w:themeColor="text1"/>
          <w:sz w:val="28"/>
          <w:szCs w:val="28"/>
          <w14:textFill>
            <w14:solidFill>
              <w14:schemeClr w14:val="tx1"/>
            </w14:solidFill>
          </w14:textFill>
        </w:rPr>
      </w:pPr>
      <w:r>
        <w:rPr>
          <w:rFonts w:hint="eastAsia" w:cs="仿宋_GB2312" w:asciiTheme="minorEastAsia" w:hAnsiTheme="minorEastAsia" w:eastAsiaTheme="minorEastAsia"/>
          <w:color w:val="000000" w:themeColor="text1"/>
          <w:sz w:val="28"/>
          <w:szCs w:val="28"/>
          <w14:textFill>
            <w14:solidFill>
              <w14:schemeClr w14:val="tx1"/>
            </w14:solidFill>
          </w14:textFill>
        </w:rPr>
        <w:t>1.报名、招标文件发售时间：2018年</w:t>
      </w:r>
      <w:r>
        <w:rPr>
          <w:rFonts w:hint="eastAsia" w:cs="仿宋_GB2312" w:asciiTheme="minorEastAsia" w:hAnsiTheme="minorEastAsia" w:eastAsiaTheme="minorEastAsia"/>
          <w:color w:val="000000" w:themeColor="text1"/>
          <w:sz w:val="28"/>
          <w:szCs w:val="28"/>
          <w:lang w:val="en-US" w:eastAsia="zh-CN"/>
          <w14:textFill>
            <w14:solidFill>
              <w14:schemeClr w14:val="tx1"/>
            </w14:solidFill>
          </w14:textFill>
        </w:rPr>
        <w:t>9</w:t>
      </w:r>
      <w:r>
        <w:rPr>
          <w:rFonts w:hint="eastAsia" w:cs="仿宋_GB2312" w:asciiTheme="minorEastAsia" w:hAnsiTheme="minorEastAsia" w:eastAsiaTheme="minorEastAsia"/>
          <w:color w:val="000000" w:themeColor="text1"/>
          <w:sz w:val="28"/>
          <w:szCs w:val="28"/>
          <w14:textFill>
            <w14:solidFill>
              <w14:schemeClr w14:val="tx1"/>
            </w14:solidFill>
          </w14:textFill>
        </w:rPr>
        <w:t>月</w:t>
      </w:r>
      <w:r>
        <w:rPr>
          <w:rFonts w:hint="eastAsia" w:cs="仿宋_GB2312" w:asciiTheme="minorEastAsia" w:hAnsiTheme="minorEastAsia" w:eastAsiaTheme="minorEastAsia"/>
          <w:color w:val="000000" w:themeColor="text1"/>
          <w:sz w:val="28"/>
          <w:szCs w:val="28"/>
          <w:lang w:val="en-US" w:eastAsia="zh-CN"/>
          <w14:textFill>
            <w14:solidFill>
              <w14:schemeClr w14:val="tx1"/>
            </w14:solidFill>
          </w14:textFill>
        </w:rPr>
        <w:t>3</w:t>
      </w:r>
      <w:r>
        <w:rPr>
          <w:rFonts w:hint="eastAsia" w:cs="仿宋_GB2312" w:asciiTheme="minorEastAsia" w:hAnsiTheme="minorEastAsia" w:eastAsiaTheme="minorEastAsia"/>
          <w:color w:val="000000" w:themeColor="text1"/>
          <w:sz w:val="28"/>
          <w:szCs w:val="28"/>
          <w14:textFill>
            <w14:solidFill>
              <w14:schemeClr w14:val="tx1"/>
            </w14:solidFill>
          </w14:textFill>
        </w:rPr>
        <w:t>日—</w:t>
      </w:r>
      <w:r>
        <w:rPr>
          <w:rFonts w:hint="eastAsia" w:cs="仿宋_GB2312" w:asciiTheme="minorEastAsia" w:hAnsiTheme="minorEastAsia" w:eastAsiaTheme="minorEastAsia"/>
          <w:color w:val="000000" w:themeColor="text1"/>
          <w:sz w:val="28"/>
          <w:szCs w:val="28"/>
          <w:lang w:val="en-US" w:eastAsia="zh-CN"/>
          <w14:textFill>
            <w14:solidFill>
              <w14:schemeClr w14:val="tx1"/>
            </w14:solidFill>
          </w14:textFill>
        </w:rPr>
        <w:t>9</w:t>
      </w:r>
      <w:r>
        <w:rPr>
          <w:rFonts w:hint="eastAsia" w:cs="仿宋_GB2312" w:asciiTheme="minorEastAsia" w:hAnsiTheme="minorEastAsia" w:eastAsiaTheme="minorEastAsia"/>
          <w:color w:val="000000" w:themeColor="text1"/>
          <w:sz w:val="28"/>
          <w:szCs w:val="28"/>
          <w14:textFill>
            <w14:solidFill>
              <w14:schemeClr w14:val="tx1"/>
            </w14:solidFill>
          </w14:textFill>
        </w:rPr>
        <w:t>月</w:t>
      </w:r>
      <w:r>
        <w:rPr>
          <w:rFonts w:hint="eastAsia" w:cs="仿宋_GB2312" w:asciiTheme="minorEastAsia" w:hAnsiTheme="minorEastAsia" w:eastAsiaTheme="minorEastAsia"/>
          <w:color w:val="000000" w:themeColor="text1"/>
          <w:sz w:val="28"/>
          <w:szCs w:val="28"/>
          <w:lang w:val="en-US" w:eastAsia="zh-CN"/>
          <w14:textFill>
            <w14:solidFill>
              <w14:schemeClr w14:val="tx1"/>
            </w14:solidFill>
          </w14:textFill>
        </w:rPr>
        <w:t>7</w:t>
      </w:r>
      <w:r>
        <w:rPr>
          <w:rFonts w:hint="eastAsia" w:cs="仿宋_GB2312" w:asciiTheme="minorEastAsia" w:hAnsiTheme="minorEastAsia" w:eastAsiaTheme="minorEastAsia"/>
          <w:color w:val="000000" w:themeColor="text1"/>
          <w:sz w:val="28"/>
          <w:szCs w:val="28"/>
          <w14:textFill>
            <w14:solidFill>
              <w14:schemeClr w14:val="tx1"/>
            </w14:solidFill>
          </w14:textFill>
        </w:rPr>
        <w:t>日（9:00-11:00；15:00—17:30）国家法定节假日也接受报名；</w:t>
      </w:r>
    </w:p>
    <w:p>
      <w:pPr>
        <w:shd w:val="clear" w:color="auto" w:fill="FFFFFF"/>
        <w:spacing w:line="560" w:lineRule="exact"/>
        <w:ind w:firstLine="560" w:firstLineChars="200"/>
        <w:rPr>
          <w:rFonts w:cs="仿宋_GB2312" w:asciiTheme="minorEastAsia" w:hAnsiTheme="minorEastAsia" w:eastAsiaTheme="minorEastAsia"/>
          <w:color w:val="000000" w:themeColor="text1"/>
          <w:sz w:val="28"/>
          <w:szCs w:val="28"/>
          <w14:textFill>
            <w14:solidFill>
              <w14:schemeClr w14:val="tx1"/>
            </w14:solidFill>
          </w14:textFill>
        </w:rPr>
      </w:pPr>
      <w:r>
        <w:rPr>
          <w:rFonts w:hint="eastAsia" w:cs="仿宋_GB2312" w:asciiTheme="minorEastAsia" w:hAnsiTheme="minorEastAsia" w:eastAsiaTheme="minorEastAsia"/>
          <w:color w:val="000000" w:themeColor="text1"/>
          <w:sz w:val="28"/>
          <w:szCs w:val="28"/>
          <w14:textFill>
            <w14:solidFill>
              <w14:schemeClr w14:val="tx1"/>
            </w14:solidFill>
          </w14:textFill>
        </w:rPr>
        <w:t>地点：盐城市文港中路128号江苏省盐城技师学院研发中心大楼1001会议室。</w:t>
      </w:r>
    </w:p>
    <w:p>
      <w:pPr>
        <w:shd w:val="clear" w:color="auto" w:fill="FFFFFF"/>
        <w:spacing w:line="560" w:lineRule="exact"/>
        <w:ind w:firstLine="560" w:firstLineChars="200"/>
        <w:rPr>
          <w:rFonts w:cs="仿宋_GB2312" w:asciiTheme="minorEastAsia" w:hAnsiTheme="minorEastAsia" w:eastAsiaTheme="minorEastAsia"/>
          <w:color w:val="000000" w:themeColor="text1"/>
          <w:sz w:val="28"/>
          <w:szCs w:val="28"/>
          <w14:textFill>
            <w14:solidFill>
              <w14:schemeClr w14:val="tx1"/>
            </w14:solidFill>
          </w14:textFill>
        </w:rPr>
      </w:pPr>
      <w:r>
        <w:rPr>
          <w:rFonts w:hint="eastAsia" w:cs="仿宋_GB2312" w:asciiTheme="minorEastAsia" w:hAnsiTheme="minorEastAsia" w:eastAsiaTheme="minorEastAsia"/>
          <w:color w:val="000000" w:themeColor="text1"/>
          <w:sz w:val="28"/>
          <w:szCs w:val="28"/>
          <w14:textFill>
            <w14:solidFill>
              <w14:schemeClr w14:val="tx1"/>
            </w14:solidFill>
          </w14:textFill>
        </w:rPr>
        <w:t>联系人：杨老师 0515—68661002</w:t>
      </w:r>
    </w:p>
    <w:p>
      <w:pPr>
        <w:shd w:val="clear" w:color="auto" w:fill="FFFFFF"/>
        <w:spacing w:line="560" w:lineRule="exact"/>
        <w:ind w:firstLine="560" w:firstLineChars="200"/>
        <w:rPr>
          <w:rFonts w:cs="仿宋_GB2312" w:asciiTheme="minorEastAsia" w:hAnsiTheme="minorEastAsia" w:eastAsiaTheme="minorEastAsia"/>
          <w:color w:val="000000" w:themeColor="text1"/>
          <w:sz w:val="28"/>
          <w:szCs w:val="28"/>
          <w14:textFill>
            <w14:solidFill>
              <w14:schemeClr w14:val="tx1"/>
            </w14:solidFill>
          </w14:textFill>
        </w:rPr>
      </w:pPr>
      <w:r>
        <w:rPr>
          <w:rFonts w:hint="eastAsia" w:cs="仿宋_GB2312" w:asciiTheme="minorEastAsia" w:hAnsiTheme="minorEastAsia" w:eastAsiaTheme="minorEastAsia"/>
          <w:color w:val="000000" w:themeColor="text1"/>
          <w:sz w:val="28"/>
          <w:szCs w:val="28"/>
          <w14:textFill>
            <w14:solidFill>
              <w14:schemeClr w14:val="tx1"/>
            </w14:solidFill>
          </w14:textFill>
        </w:rPr>
        <w:t>2.投标文件递交截止时间及开标时间：2018年</w:t>
      </w:r>
      <w:r>
        <w:rPr>
          <w:rFonts w:hint="eastAsia" w:cs="仿宋_GB2312" w:asciiTheme="minorEastAsia" w:hAnsiTheme="minorEastAsia" w:eastAsiaTheme="minorEastAsia"/>
          <w:color w:val="000000" w:themeColor="text1"/>
          <w:sz w:val="28"/>
          <w:szCs w:val="28"/>
          <w:lang w:val="en-US" w:eastAsia="zh-CN"/>
          <w14:textFill>
            <w14:solidFill>
              <w14:schemeClr w14:val="tx1"/>
            </w14:solidFill>
          </w14:textFill>
        </w:rPr>
        <w:t>9</w:t>
      </w:r>
      <w:r>
        <w:rPr>
          <w:rFonts w:hint="eastAsia" w:cs="仿宋_GB2312" w:asciiTheme="minorEastAsia" w:hAnsiTheme="minorEastAsia" w:eastAsiaTheme="minorEastAsia"/>
          <w:color w:val="000000" w:themeColor="text1"/>
          <w:sz w:val="28"/>
          <w:szCs w:val="28"/>
          <w14:textFill>
            <w14:solidFill>
              <w14:schemeClr w14:val="tx1"/>
            </w14:solidFill>
          </w14:textFill>
        </w:rPr>
        <w:t>月</w:t>
      </w:r>
      <w:r>
        <w:rPr>
          <w:rFonts w:hint="eastAsia" w:cs="仿宋_GB2312" w:asciiTheme="minorEastAsia" w:hAnsiTheme="minorEastAsia" w:eastAsiaTheme="minorEastAsia"/>
          <w:color w:val="000000" w:themeColor="text1"/>
          <w:sz w:val="28"/>
          <w:szCs w:val="28"/>
          <w:lang w:val="en-US" w:eastAsia="zh-CN"/>
          <w14:textFill>
            <w14:solidFill>
              <w14:schemeClr w14:val="tx1"/>
            </w14:solidFill>
          </w14:textFill>
        </w:rPr>
        <w:t>10</w:t>
      </w:r>
      <w:r>
        <w:rPr>
          <w:rFonts w:hint="eastAsia" w:cs="仿宋_GB2312" w:asciiTheme="minorEastAsia" w:hAnsiTheme="minorEastAsia" w:eastAsiaTheme="minorEastAsia"/>
          <w:color w:val="000000" w:themeColor="text1"/>
          <w:sz w:val="28"/>
          <w:szCs w:val="28"/>
          <w14:textFill>
            <w14:solidFill>
              <w14:schemeClr w14:val="tx1"/>
            </w14:solidFill>
          </w14:textFill>
        </w:rPr>
        <w:t>日</w:t>
      </w:r>
      <w:r>
        <w:rPr>
          <w:rFonts w:hint="eastAsia" w:cs="仿宋_GB2312" w:asciiTheme="minorEastAsia" w:hAnsiTheme="minorEastAsia" w:eastAsiaTheme="minorEastAsia"/>
          <w:color w:val="000000" w:themeColor="text1"/>
          <w:sz w:val="28"/>
          <w:szCs w:val="28"/>
          <w:lang w:val="en-US" w:eastAsia="zh-CN"/>
          <w14:textFill>
            <w14:solidFill>
              <w14:schemeClr w14:val="tx1"/>
            </w14:solidFill>
          </w14:textFill>
        </w:rPr>
        <w:t>上午9时30分</w:t>
      </w:r>
      <w:r>
        <w:rPr>
          <w:rFonts w:hint="eastAsia" w:cs="仿宋_GB2312" w:asciiTheme="minorEastAsia" w:hAnsiTheme="minorEastAsia" w:eastAsiaTheme="minorEastAsia"/>
          <w:color w:val="000000" w:themeColor="text1"/>
          <w:sz w:val="28"/>
          <w:szCs w:val="28"/>
          <w14:textFill>
            <w14:solidFill>
              <w14:schemeClr w14:val="tx1"/>
            </w14:solidFill>
          </w14:textFill>
        </w:rPr>
        <w:t>。</w:t>
      </w:r>
    </w:p>
    <w:p>
      <w:pPr>
        <w:shd w:val="clear" w:color="auto" w:fill="FFFFFF"/>
        <w:spacing w:line="560" w:lineRule="exact"/>
        <w:ind w:firstLine="560" w:firstLineChars="200"/>
        <w:rPr>
          <w:rFonts w:cs="仿宋_GB2312"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sz w:val="28"/>
          <w:szCs w:val="28"/>
        </w:rPr>
        <w:t>3.</w:t>
      </w:r>
      <w:r>
        <w:rPr>
          <w:rFonts w:hint="eastAsia" w:cs="仿宋_GB2312" w:asciiTheme="minorEastAsia" w:hAnsiTheme="minorEastAsia" w:eastAsiaTheme="minorEastAsia"/>
          <w:color w:val="000000" w:themeColor="text1"/>
          <w:sz w:val="28"/>
          <w:szCs w:val="28"/>
          <w14:textFill>
            <w14:solidFill>
              <w14:schemeClr w14:val="tx1"/>
            </w14:solidFill>
          </w14:textFill>
        </w:rPr>
        <w:t>投标文件递交及开标地点：盐城市文港中路128号江苏省盐城技师学院研发中心大楼1109会议室。</w:t>
      </w:r>
    </w:p>
    <w:p>
      <w:pPr>
        <w:shd w:val="clear" w:color="auto" w:fill="FFFFFF"/>
        <w:spacing w:line="560" w:lineRule="exact"/>
        <w:ind w:firstLine="560" w:firstLineChars="200"/>
        <w:rPr>
          <w:rFonts w:cs="仿宋_GB2312" w:asciiTheme="minorEastAsia" w:hAnsiTheme="minorEastAsia" w:eastAsiaTheme="minorEastAsia"/>
          <w:color w:val="000000" w:themeColor="text1"/>
          <w:sz w:val="28"/>
          <w:szCs w:val="28"/>
          <w14:textFill>
            <w14:solidFill>
              <w14:schemeClr w14:val="tx1"/>
            </w14:solidFill>
          </w14:textFill>
        </w:rPr>
      </w:pPr>
      <w:r>
        <w:rPr>
          <w:rFonts w:hint="eastAsia" w:cs="仿宋_GB2312" w:asciiTheme="minorEastAsia" w:hAnsiTheme="minorEastAsia" w:eastAsiaTheme="minorEastAsia"/>
          <w:color w:val="000000" w:themeColor="text1"/>
          <w:sz w:val="28"/>
          <w:szCs w:val="28"/>
          <w14:textFill>
            <w14:solidFill>
              <w14:schemeClr w14:val="tx1"/>
            </w14:solidFill>
          </w14:textFill>
        </w:rPr>
        <w:t>4.招标质询：招标人在投标文件递交截止时间前随时接受质询。</w:t>
      </w:r>
    </w:p>
    <w:p>
      <w:pPr>
        <w:shd w:val="clear" w:color="auto" w:fill="FFFFFF"/>
        <w:spacing w:line="560" w:lineRule="exact"/>
        <w:ind w:firstLine="560" w:firstLineChars="200"/>
        <w:rPr>
          <w:rFonts w:cs="仿宋_GB2312" w:asciiTheme="minorEastAsia" w:hAnsiTheme="minorEastAsia" w:eastAsiaTheme="minorEastAsia"/>
          <w:color w:val="000000" w:themeColor="text1"/>
          <w:sz w:val="28"/>
          <w:szCs w:val="28"/>
          <w14:textFill>
            <w14:solidFill>
              <w14:schemeClr w14:val="tx1"/>
            </w14:solidFill>
          </w14:textFill>
        </w:rPr>
      </w:pPr>
      <w:r>
        <w:rPr>
          <w:rFonts w:hint="eastAsia" w:cs="仿宋_GB2312" w:asciiTheme="minorEastAsia" w:hAnsiTheme="minorEastAsia" w:eastAsiaTheme="minorEastAsia"/>
          <w:color w:val="000000" w:themeColor="text1"/>
          <w:sz w:val="28"/>
          <w:szCs w:val="28"/>
          <w14:textFill>
            <w14:solidFill>
              <w14:schemeClr w14:val="tx1"/>
            </w14:solidFill>
          </w14:textFill>
        </w:rPr>
        <w:t>联系人：杨老师 0515—68661002</w:t>
      </w:r>
    </w:p>
    <w:p>
      <w:pPr>
        <w:shd w:val="clear" w:color="auto" w:fill="FFFFFF"/>
        <w:spacing w:line="360" w:lineRule="auto"/>
        <w:ind w:firstLine="562" w:firstLineChars="200"/>
        <w:rPr>
          <w:rFonts w:cs="黑体" w:asciiTheme="minorEastAsia" w:hAnsiTheme="minorEastAsia" w:eastAsiaTheme="minorEastAsia"/>
          <w:color w:val="000000"/>
          <w:sz w:val="44"/>
          <w:szCs w:val="44"/>
          <w:lang w:val="zh-TW"/>
        </w:rPr>
      </w:pPr>
      <w:r>
        <w:rPr>
          <w:rFonts w:hint="eastAsia" w:cs="仿宋_GB2312" w:asciiTheme="minorEastAsia" w:hAnsiTheme="minorEastAsia" w:eastAsiaTheme="minorEastAsia"/>
          <w:b/>
          <w:color w:val="000000"/>
          <w:sz w:val="28"/>
          <w:szCs w:val="28"/>
        </w:rPr>
        <w:t>注：本项目投标人在递交投标文件时须同时递交投标保证金交款凭据，本次投标保证金以银行本票或银行汇票形式（提供银行本票或银行汇票，谢绝其他形式）缴纳，开标前带至开标现场（详见投标保证金条款的相关规定）。</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16940" cy="147955"/>
              <wp:effectExtent l="0" t="0" r="0" b="0"/>
              <wp:wrapNone/>
              <wp:docPr id="1" name="Text Box 1026"/>
              <wp:cNvGraphicFramePr/>
              <a:graphic xmlns:a="http://schemas.openxmlformats.org/drawingml/2006/main">
                <a:graphicData uri="http://schemas.microsoft.com/office/word/2010/wordprocessingShape">
                  <wps:wsp>
                    <wps:cNvSpPr txBox="1">
                      <a:spLocks noChangeArrowheads="1"/>
                    </wps:cNvSpPr>
                    <wps:spPr bwMode="auto">
                      <a:xfrm>
                        <a:off x="0" y="0"/>
                        <a:ext cx="916940" cy="147955"/>
                      </a:xfrm>
                      <a:prstGeom prst="rect">
                        <a:avLst/>
                      </a:prstGeom>
                      <a:noFill/>
                      <a:ln>
                        <a:noFill/>
                      </a:ln>
                    </wps:spPr>
                    <wps:txbx>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r>
                            <w:rPr>
                              <w:rFonts w:hint="eastAsia"/>
                            </w:rPr>
                            <w:t xml:space="preserve"> 页 共 </w:t>
                          </w:r>
                          <w:r>
                            <w:fldChar w:fldCharType="begin"/>
                          </w:r>
                          <w:r>
                            <w:instrText xml:space="preserve"> NUMPAGES  \* MERGEFORMAT </w:instrText>
                          </w:r>
                          <w:r>
                            <w:fldChar w:fldCharType="separate"/>
                          </w:r>
                          <w:r>
                            <w:t>20</w:t>
                          </w:r>
                          <w:r>
                            <w:fldChar w:fldCharType="end"/>
                          </w:r>
                          <w:r>
                            <w:rPr>
                              <w:rFonts w:hint="eastAsia"/>
                            </w:rPr>
                            <w:t xml:space="preserve"> 页</w:t>
                          </w:r>
                        </w:p>
                      </w:txbxContent>
                    </wps:txbx>
                    <wps:bodyPr rot="0" vert="horz" wrap="none" lIns="0" tIns="0" rIns="0" bIns="0" anchor="t" anchorCtr="0" upright="1">
                      <a:spAutoFit/>
                    </wps:bodyPr>
                  </wps:wsp>
                </a:graphicData>
              </a:graphic>
            </wp:anchor>
          </w:drawing>
        </mc:Choice>
        <mc:Fallback>
          <w:pict>
            <v:shape id="Text Box 1026" o:spid="_x0000_s1026" o:spt="202" type="#_x0000_t202" style="position:absolute;left:0pt;margin-top:0pt;height:11.65pt;width:72.2pt;mso-position-horizontal:center;mso-position-horizontal-relative:margin;mso-wrap-style:none;z-index:251659264;mso-width-relative:page;mso-height-relative:page;" filled="f" stroked="f" coordsize="21600,21600" o:gfxdata="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fHZ7jSAAAABAEAAA8AAAAA&#10;AAAAAQAgAAAAIgAAAGRycy9kb3ducmV2LnhtbFBLAQIUABQAAAAIAIdO4kAefAgE4QEAALYDAAAO&#10;AAAAAAAAAAEAIAAAACEBAABkcnMvZTJvRG9jLnhtbFBLBQYAAAAABgAGAFkBAAB0BQAAAAA=&#10;">
              <v:fill on="f" focussize="0,0"/>
              <v:stroke on="f"/>
              <v:imagedata o:title=""/>
              <o:lock v:ext="edit" aspectratio="f"/>
              <v:textbox inset="0mm,0mm,0mm,0mm" style="mso-fit-shape-to-text:t;">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r>
                      <w:rPr>
                        <w:rFonts w:hint="eastAsia"/>
                      </w:rPr>
                      <w:t xml:space="preserve"> 页 共 </w:t>
                    </w:r>
                    <w:r>
                      <w:fldChar w:fldCharType="begin"/>
                    </w:r>
                    <w:r>
                      <w:instrText xml:space="preserve"> NUMPAGES  \* MERGEFORMAT </w:instrText>
                    </w:r>
                    <w:r>
                      <w:fldChar w:fldCharType="separate"/>
                    </w:r>
                    <w:r>
                      <w:t>20</w:t>
                    </w:r>
                    <w:r>
                      <w:fldChar w:fldCharType="end"/>
                    </w:r>
                    <w:r>
                      <w:rPr>
                        <w:rFonts w:hint="eastAsia"/>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20793E"/>
    <w:rsid w:val="00036A37"/>
    <w:rsid w:val="00053D96"/>
    <w:rsid w:val="000921A7"/>
    <w:rsid w:val="000C2FD9"/>
    <w:rsid w:val="000D362B"/>
    <w:rsid w:val="000D5943"/>
    <w:rsid w:val="000E28A3"/>
    <w:rsid w:val="00106709"/>
    <w:rsid w:val="0015740A"/>
    <w:rsid w:val="00157DD8"/>
    <w:rsid w:val="001867E0"/>
    <w:rsid w:val="00197926"/>
    <w:rsid w:val="001D2227"/>
    <w:rsid w:val="00200FF4"/>
    <w:rsid w:val="00207695"/>
    <w:rsid w:val="00226CF0"/>
    <w:rsid w:val="002340CC"/>
    <w:rsid w:val="00240707"/>
    <w:rsid w:val="002841FB"/>
    <w:rsid w:val="00297E2A"/>
    <w:rsid w:val="002B6BB1"/>
    <w:rsid w:val="002D72C5"/>
    <w:rsid w:val="003032C3"/>
    <w:rsid w:val="00354D5E"/>
    <w:rsid w:val="003934EC"/>
    <w:rsid w:val="003B0ACB"/>
    <w:rsid w:val="003F5B08"/>
    <w:rsid w:val="0045486B"/>
    <w:rsid w:val="005516D1"/>
    <w:rsid w:val="00557F91"/>
    <w:rsid w:val="00584C17"/>
    <w:rsid w:val="005975C4"/>
    <w:rsid w:val="0059781B"/>
    <w:rsid w:val="005C576E"/>
    <w:rsid w:val="006B68E1"/>
    <w:rsid w:val="006E12E9"/>
    <w:rsid w:val="00734B35"/>
    <w:rsid w:val="00776C64"/>
    <w:rsid w:val="007A4F9E"/>
    <w:rsid w:val="007B3EF6"/>
    <w:rsid w:val="00865362"/>
    <w:rsid w:val="00895C9B"/>
    <w:rsid w:val="008B1730"/>
    <w:rsid w:val="008B4F57"/>
    <w:rsid w:val="008C7556"/>
    <w:rsid w:val="008E483E"/>
    <w:rsid w:val="008E6423"/>
    <w:rsid w:val="009002E1"/>
    <w:rsid w:val="0090184A"/>
    <w:rsid w:val="00933C2F"/>
    <w:rsid w:val="00941BF5"/>
    <w:rsid w:val="009501A6"/>
    <w:rsid w:val="0098537E"/>
    <w:rsid w:val="009E72A1"/>
    <w:rsid w:val="00A10716"/>
    <w:rsid w:val="00A14747"/>
    <w:rsid w:val="00A24581"/>
    <w:rsid w:val="00A35E9E"/>
    <w:rsid w:val="00A37414"/>
    <w:rsid w:val="00AC3326"/>
    <w:rsid w:val="00AC78EA"/>
    <w:rsid w:val="00AD2127"/>
    <w:rsid w:val="00B0447B"/>
    <w:rsid w:val="00B2630E"/>
    <w:rsid w:val="00B708E5"/>
    <w:rsid w:val="00B91675"/>
    <w:rsid w:val="00BE1F22"/>
    <w:rsid w:val="00C070D2"/>
    <w:rsid w:val="00C11E28"/>
    <w:rsid w:val="00C2219F"/>
    <w:rsid w:val="00C44A09"/>
    <w:rsid w:val="00C5122B"/>
    <w:rsid w:val="00C8586B"/>
    <w:rsid w:val="00CA05C3"/>
    <w:rsid w:val="00CB3174"/>
    <w:rsid w:val="00D06F51"/>
    <w:rsid w:val="00D12A33"/>
    <w:rsid w:val="00D65200"/>
    <w:rsid w:val="00DA745D"/>
    <w:rsid w:val="00DE3CB2"/>
    <w:rsid w:val="00DE52B2"/>
    <w:rsid w:val="00E76736"/>
    <w:rsid w:val="00EA0E69"/>
    <w:rsid w:val="00EA574F"/>
    <w:rsid w:val="00EE2134"/>
    <w:rsid w:val="00F05EFA"/>
    <w:rsid w:val="00F35092"/>
    <w:rsid w:val="00F90D57"/>
    <w:rsid w:val="01754E63"/>
    <w:rsid w:val="01836155"/>
    <w:rsid w:val="01A2318E"/>
    <w:rsid w:val="02A15134"/>
    <w:rsid w:val="02B4312C"/>
    <w:rsid w:val="03074D78"/>
    <w:rsid w:val="030753C1"/>
    <w:rsid w:val="03251397"/>
    <w:rsid w:val="03784BFE"/>
    <w:rsid w:val="03EC45D0"/>
    <w:rsid w:val="042B4F50"/>
    <w:rsid w:val="046B6F6A"/>
    <w:rsid w:val="04943E0E"/>
    <w:rsid w:val="04C12B4C"/>
    <w:rsid w:val="04CD3D0D"/>
    <w:rsid w:val="04D158D9"/>
    <w:rsid w:val="051004D3"/>
    <w:rsid w:val="05272FAA"/>
    <w:rsid w:val="05372908"/>
    <w:rsid w:val="05B15802"/>
    <w:rsid w:val="066E5BFE"/>
    <w:rsid w:val="067009E3"/>
    <w:rsid w:val="067B2101"/>
    <w:rsid w:val="068B05B0"/>
    <w:rsid w:val="06911FAD"/>
    <w:rsid w:val="06B24841"/>
    <w:rsid w:val="06BB5646"/>
    <w:rsid w:val="06BF42A5"/>
    <w:rsid w:val="06D00095"/>
    <w:rsid w:val="06F55353"/>
    <w:rsid w:val="070058ED"/>
    <w:rsid w:val="071D214B"/>
    <w:rsid w:val="072842ED"/>
    <w:rsid w:val="073F6105"/>
    <w:rsid w:val="07976D19"/>
    <w:rsid w:val="07CC07D2"/>
    <w:rsid w:val="07DA3CFE"/>
    <w:rsid w:val="08037EE2"/>
    <w:rsid w:val="086D4B75"/>
    <w:rsid w:val="08D84C8A"/>
    <w:rsid w:val="08E800CB"/>
    <w:rsid w:val="08E9492E"/>
    <w:rsid w:val="091A0CCA"/>
    <w:rsid w:val="09403D2E"/>
    <w:rsid w:val="09B445D1"/>
    <w:rsid w:val="09B77FF7"/>
    <w:rsid w:val="0A2658EF"/>
    <w:rsid w:val="0A885429"/>
    <w:rsid w:val="0A986949"/>
    <w:rsid w:val="0AEB2D57"/>
    <w:rsid w:val="0AFC45D4"/>
    <w:rsid w:val="0B62067E"/>
    <w:rsid w:val="0B626DEC"/>
    <w:rsid w:val="0B6F0BA4"/>
    <w:rsid w:val="0B79114F"/>
    <w:rsid w:val="0BF637CF"/>
    <w:rsid w:val="0C206B85"/>
    <w:rsid w:val="0C525545"/>
    <w:rsid w:val="0C874AF0"/>
    <w:rsid w:val="0CA71DA8"/>
    <w:rsid w:val="0CB91948"/>
    <w:rsid w:val="0D63284F"/>
    <w:rsid w:val="0D8536A8"/>
    <w:rsid w:val="0DA5454E"/>
    <w:rsid w:val="0E1760F3"/>
    <w:rsid w:val="0E1F6EFE"/>
    <w:rsid w:val="0EED3DB3"/>
    <w:rsid w:val="0F485F9D"/>
    <w:rsid w:val="0F78360A"/>
    <w:rsid w:val="0FA34244"/>
    <w:rsid w:val="10486C99"/>
    <w:rsid w:val="10687E3D"/>
    <w:rsid w:val="10A02C4D"/>
    <w:rsid w:val="11A060C4"/>
    <w:rsid w:val="11EB65BE"/>
    <w:rsid w:val="12216038"/>
    <w:rsid w:val="125D6101"/>
    <w:rsid w:val="127F2E02"/>
    <w:rsid w:val="12AB40BA"/>
    <w:rsid w:val="12B94D24"/>
    <w:rsid w:val="12C23695"/>
    <w:rsid w:val="12C7554A"/>
    <w:rsid w:val="131953C2"/>
    <w:rsid w:val="1387289B"/>
    <w:rsid w:val="138A3CBD"/>
    <w:rsid w:val="13BF20EE"/>
    <w:rsid w:val="141A7C53"/>
    <w:rsid w:val="141E3E24"/>
    <w:rsid w:val="14485D08"/>
    <w:rsid w:val="155F42E2"/>
    <w:rsid w:val="15D81422"/>
    <w:rsid w:val="1600642F"/>
    <w:rsid w:val="161A2398"/>
    <w:rsid w:val="16AC0063"/>
    <w:rsid w:val="16CF7914"/>
    <w:rsid w:val="16D60D5C"/>
    <w:rsid w:val="16FA1EEA"/>
    <w:rsid w:val="172356C7"/>
    <w:rsid w:val="17595BE4"/>
    <w:rsid w:val="178F4D9A"/>
    <w:rsid w:val="17BC4CB2"/>
    <w:rsid w:val="18352C7A"/>
    <w:rsid w:val="18707FE4"/>
    <w:rsid w:val="187679A2"/>
    <w:rsid w:val="18F41E75"/>
    <w:rsid w:val="193534EA"/>
    <w:rsid w:val="1949555F"/>
    <w:rsid w:val="198716D5"/>
    <w:rsid w:val="19D42B02"/>
    <w:rsid w:val="19DF227A"/>
    <w:rsid w:val="1A0033A8"/>
    <w:rsid w:val="1A2E19C8"/>
    <w:rsid w:val="1A4B3764"/>
    <w:rsid w:val="1A7C6625"/>
    <w:rsid w:val="1A801086"/>
    <w:rsid w:val="1ACF0032"/>
    <w:rsid w:val="1B1D036B"/>
    <w:rsid w:val="1B370055"/>
    <w:rsid w:val="1B80036D"/>
    <w:rsid w:val="1BE32A33"/>
    <w:rsid w:val="1C113A3F"/>
    <w:rsid w:val="1C501BDF"/>
    <w:rsid w:val="1C6537A6"/>
    <w:rsid w:val="1CB94466"/>
    <w:rsid w:val="1D027E40"/>
    <w:rsid w:val="1D134D2D"/>
    <w:rsid w:val="1D2B5A14"/>
    <w:rsid w:val="1E1823DE"/>
    <w:rsid w:val="1E4C0DD8"/>
    <w:rsid w:val="1E9F10E2"/>
    <w:rsid w:val="1EB96B5B"/>
    <w:rsid w:val="1F3F35B4"/>
    <w:rsid w:val="1FCF5281"/>
    <w:rsid w:val="1FF03444"/>
    <w:rsid w:val="20557734"/>
    <w:rsid w:val="20B66F47"/>
    <w:rsid w:val="20FD07C0"/>
    <w:rsid w:val="21645F4F"/>
    <w:rsid w:val="216C14E6"/>
    <w:rsid w:val="216E48EC"/>
    <w:rsid w:val="21D15555"/>
    <w:rsid w:val="21DC75E2"/>
    <w:rsid w:val="22767A37"/>
    <w:rsid w:val="22ED2343"/>
    <w:rsid w:val="23D35722"/>
    <w:rsid w:val="23D90E3E"/>
    <w:rsid w:val="2420793E"/>
    <w:rsid w:val="242F2957"/>
    <w:rsid w:val="24B37275"/>
    <w:rsid w:val="24C34269"/>
    <w:rsid w:val="24D36639"/>
    <w:rsid w:val="24E15C47"/>
    <w:rsid w:val="24F91061"/>
    <w:rsid w:val="251809A6"/>
    <w:rsid w:val="25241D99"/>
    <w:rsid w:val="25A2696F"/>
    <w:rsid w:val="25BD36CE"/>
    <w:rsid w:val="25C27D0F"/>
    <w:rsid w:val="25D96D7F"/>
    <w:rsid w:val="263372DB"/>
    <w:rsid w:val="26450D03"/>
    <w:rsid w:val="26457918"/>
    <w:rsid w:val="269B2112"/>
    <w:rsid w:val="26B462D2"/>
    <w:rsid w:val="26E43C12"/>
    <w:rsid w:val="272E76AB"/>
    <w:rsid w:val="27932D2C"/>
    <w:rsid w:val="27992A4D"/>
    <w:rsid w:val="27B73D55"/>
    <w:rsid w:val="281B08CB"/>
    <w:rsid w:val="28627E33"/>
    <w:rsid w:val="28BB6905"/>
    <w:rsid w:val="293C3219"/>
    <w:rsid w:val="296E1849"/>
    <w:rsid w:val="296E617B"/>
    <w:rsid w:val="29B92643"/>
    <w:rsid w:val="29D03263"/>
    <w:rsid w:val="29E80FAC"/>
    <w:rsid w:val="29F22B97"/>
    <w:rsid w:val="2A73438A"/>
    <w:rsid w:val="2A7A7496"/>
    <w:rsid w:val="2AA75F42"/>
    <w:rsid w:val="2B572CFE"/>
    <w:rsid w:val="2B5A1D0B"/>
    <w:rsid w:val="2BA12CCB"/>
    <w:rsid w:val="2BF253AE"/>
    <w:rsid w:val="2BF95B4F"/>
    <w:rsid w:val="2C225919"/>
    <w:rsid w:val="2C430B45"/>
    <w:rsid w:val="2C9629A2"/>
    <w:rsid w:val="2CAE50C0"/>
    <w:rsid w:val="2CC23FE0"/>
    <w:rsid w:val="2D33780D"/>
    <w:rsid w:val="2D3A397F"/>
    <w:rsid w:val="2E3C5CE7"/>
    <w:rsid w:val="2E6F0EB3"/>
    <w:rsid w:val="2EC933C3"/>
    <w:rsid w:val="2FB86594"/>
    <w:rsid w:val="305B42AA"/>
    <w:rsid w:val="30751855"/>
    <w:rsid w:val="308D17A0"/>
    <w:rsid w:val="30AE56DC"/>
    <w:rsid w:val="30F53A27"/>
    <w:rsid w:val="30F938C5"/>
    <w:rsid w:val="310C6654"/>
    <w:rsid w:val="314E7721"/>
    <w:rsid w:val="3152597F"/>
    <w:rsid w:val="31721C46"/>
    <w:rsid w:val="31F604A7"/>
    <w:rsid w:val="320B14E6"/>
    <w:rsid w:val="324772B5"/>
    <w:rsid w:val="324E2072"/>
    <w:rsid w:val="32776696"/>
    <w:rsid w:val="32B90E53"/>
    <w:rsid w:val="32FA6744"/>
    <w:rsid w:val="33297F74"/>
    <w:rsid w:val="334912C7"/>
    <w:rsid w:val="336C1CB6"/>
    <w:rsid w:val="338F0C8A"/>
    <w:rsid w:val="33AE7E7D"/>
    <w:rsid w:val="33D4523D"/>
    <w:rsid w:val="340D52DD"/>
    <w:rsid w:val="345E3D52"/>
    <w:rsid w:val="34725BF7"/>
    <w:rsid w:val="34CC6B8D"/>
    <w:rsid w:val="35365D30"/>
    <w:rsid w:val="3577502D"/>
    <w:rsid w:val="35AB442D"/>
    <w:rsid w:val="35FD18B8"/>
    <w:rsid w:val="36140B55"/>
    <w:rsid w:val="366B2C61"/>
    <w:rsid w:val="36781BE1"/>
    <w:rsid w:val="36CD5879"/>
    <w:rsid w:val="370C49F9"/>
    <w:rsid w:val="371A339D"/>
    <w:rsid w:val="371E16DF"/>
    <w:rsid w:val="37281753"/>
    <w:rsid w:val="37314630"/>
    <w:rsid w:val="37391808"/>
    <w:rsid w:val="37443823"/>
    <w:rsid w:val="377B7619"/>
    <w:rsid w:val="377F2900"/>
    <w:rsid w:val="37A23E34"/>
    <w:rsid w:val="37D7008A"/>
    <w:rsid w:val="37F17986"/>
    <w:rsid w:val="385B79FC"/>
    <w:rsid w:val="389E40FB"/>
    <w:rsid w:val="38BB2241"/>
    <w:rsid w:val="38E14EED"/>
    <w:rsid w:val="38FF2799"/>
    <w:rsid w:val="394F79A9"/>
    <w:rsid w:val="39623715"/>
    <w:rsid w:val="397556D1"/>
    <w:rsid w:val="39A04C69"/>
    <w:rsid w:val="3A114339"/>
    <w:rsid w:val="3A4D38A2"/>
    <w:rsid w:val="3A9D6028"/>
    <w:rsid w:val="3B3F1924"/>
    <w:rsid w:val="3B6162F8"/>
    <w:rsid w:val="3B721FC2"/>
    <w:rsid w:val="3B855F46"/>
    <w:rsid w:val="3B860428"/>
    <w:rsid w:val="3CED2288"/>
    <w:rsid w:val="3D2D679A"/>
    <w:rsid w:val="3D7F4F0B"/>
    <w:rsid w:val="3D8D7CA4"/>
    <w:rsid w:val="3DCA4A2D"/>
    <w:rsid w:val="3DD95AFA"/>
    <w:rsid w:val="3DFF1EF8"/>
    <w:rsid w:val="3F0262BC"/>
    <w:rsid w:val="3F1818E5"/>
    <w:rsid w:val="3F787D93"/>
    <w:rsid w:val="40F90C7F"/>
    <w:rsid w:val="410C7CEF"/>
    <w:rsid w:val="4110062F"/>
    <w:rsid w:val="411357D5"/>
    <w:rsid w:val="42536595"/>
    <w:rsid w:val="427E7C27"/>
    <w:rsid w:val="42AA052D"/>
    <w:rsid w:val="42AA1947"/>
    <w:rsid w:val="42B82C2B"/>
    <w:rsid w:val="42FE74B6"/>
    <w:rsid w:val="43A97E4A"/>
    <w:rsid w:val="43EB4A23"/>
    <w:rsid w:val="445F5174"/>
    <w:rsid w:val="4478396D"/>
    <w:rsid w:val="447F785B"/>
    <w:rsid w:val="44995F70"/>
    <w:rsid w:val="44A658FB"/>
    <w:rsid w:val="44B03BC9"/>
    <w:rsid w:val="4510111F"/>
    <w:rsid w:val="45646A3B"/>
    <w:rsid w:val="45E51245"/>
    <w:rsid w:val="45F85DE8"/>
    <w:rsid w:val="464F2CDE"/>
    <w:rsid w:val="468D0324"/>
    <w:rsid w:val="46A52566"/>
    <w:rsid w:val="473A4A33"/>
    <w:rsid w:val="475E2D19"/>
    <w:rsid w:val="47AC3932"/>
    <w:rsid w:val="47E86AC3"/>
    <w:rsid w:val="47EB0CDC"/>
    <w:rsid w:val="48211BC8"/>
    <w:rsid w:val="482C68E1"/>
    <w:rsid w:val="49964B10"/>
    <w:rsid w:val="49C3625E"/>
    <w:rsid w:val="4A0952BB"/>
    <w:rsid w:val="4A300DBD"/>
    <w:rsid w:val="4AE66990"/>
    <w:rsid w:val="4B183B51"/>
    <w:rsid w:val="4B5364D2"/>
    <w:rsid w:val="4BFD7E37"/>
    <w:rsid w:val="4C27785C"/>
    <w:rsid w:val="4C702BBA"/>
    <w:rsid w:val="4C805C6D"/>
    <w:rsid w:val="4CFB3FC6"/>
    <w:rsid w:val="4D752DFF"/>
    <w:rsid w:val="4D8A37FE"/>
    <w:rsid w:val="4DA565A2"/>
    <w:rsid w:val="4DE34CFA"/>
    <w:rsid w:val="4DE62960"/>
    <w:rsid w:val="4E100D3C"/>
    <w:rsid w:val="4E2221DA"/>
    <w:rsid w:val="4E555139"/>
    <w:rsid w:val="4E6526E6"/>
    <w:rsid w:val="4E93279E"/>
    <w:rsid w:val="4F74653C"/>
    <w:rsid w:val="4F7B700D"/>
    <w:rsid w:val="4F9B2595"/>
    <w:rsid w:val="4FDD24ED"/>
    <w:rsid w:val="4FDD3E90"/>
    <w:rsid w:val="4FF0282F"/>
    <w:rsid w:val="4FF70840"/>
    <w:rsid w:val="4FF914C3"/>
    <w:rsid w:val="5037777B"/>
    <w:rsid w:val="50812DFC"/>
    <w:rsid w:val="51361776"/>
    <w:rsid w:val="51600B1E"/>
    <w:rsid w:val="51986794"/>
    <w:rsid w:val="51C27A83"/>
    <w:rsid w:val="52AC24D9"/>
    <w:rsid w:val="5303600D"/>
    <w:rsid w:val="53B27B60"/>
    <w:rsid w:val="53B75D03"/>
    <w:rsid w:val="53FE0CEB"/>
    <w:rsid w:val="549417C5"/>
    <w:rsid w:val="55384DC7"/>
    <w:rsid w:val="557C0A69"/>
    <w:rsid w:val="55891293"/>
    <w:rsid w:val="55A31E10"/>
    <w:rsid w:val="55B66AF9"/>
    <w:rsid w:val="568625A5"/>
    <w:rsid w:val="5686519C"/>
    <w:rsid w:val="56D25390"/>
    <w:rsid w:val="57066E2E"/>
    <w:rsid w:val="57250D68"/>
    <w:rsid w:val="573D0770"/>
    <w:rsid w:val="57C23453"/>
    <w:rsid w:val="58382824"/>
    <w:rsid w:val="594F6C2F"/>
    <w:rsid w:val="595A4C77"/>
    <w:rsid w:val="59A01DC1"/>
    <w:rsid w:val="59E14449"/>
    <w:rsid w:val="5A0C0BD4"/>
    <w:rsid w:val="5A262CBC"/>
    <w:rsid w:val="5A5B4BA8"/>
    <w:rsid w:val="5AEB78AA"/>
    <w:rsid w:val="5B565DAD"/>
    <w:rsid w:val="5BAB7008"/>
    <w:rsid w:val="5C114079"/>
    <w:rsid w:val="5C907276"/>
    <w:rsid w:val="5C957A74"/>
    <w:rsid w:val="5CB155B2"/>
    <w:rsid w:val="5CF86948"/>
    <w:rsid w:val="5D303546"/>
    <w:rsid w:val="5D3809AA"/>
    <w:rsid w:val="5DB00806"/>
    <w:rsid w:val="5DB30BE2"/>
    <w:rsid w:val="5DCB073D"/>
    <w:rsid w:val="5E193B47"/>
    <w:rsid w:val="5E256E0A"/>
    <w:rsid w:val="5E3E2275"/>
    <w:rsid w:val="5E5516EB"/>
    <w:rsid w:val="5EB24D06"/>
    <w:rsid w:val="5EC00FDE"/>
    <w:rsid w:val="5EE56918"/>
    <w:rsid w:val="5F5F5791"/>
    <w:rsid w:val="5F861D14"/>
    <w:rsid w:val="5F983C6B"/>
    <w:rsid w:val="602A084C"/>
    <w:rsid w:val="606D15DE"/>
    <w:rsid w:val="60C05BB5"/>
    <w:rsid w:val="60FB3115"/>
    <w:rsid w:val="612F6FCF"/>
    <w:rsid w:val="61737EF9"/>
    <w:rsid w:val="62056608"/>
    <w:rsid w:val="624F051E"/>
    <w:rsid w:val="625A0DB8"/>
    <w:rsid w:val="62C221C5"/>
    <w:rsid w:val="62CD2233"/>
    <w:rsid w:val="62D500B6"/>
    <w:rsid w:val="62D82626"/>
    <w:rsid w:val="63413B72"/>
    <w:rsid w:val="63B477FB"/>
    <w:rsid w:val="63DE01CA"/>
    <w:rsid w:val="64140E68"/>
    <w:rsid w:val="64571B9A"/>
    <w:rsid w:val="64A5749D"/>
    <w:rsid w:val="657813C0"/>
    <w:rsid w:val="65D95392"/>
    <w:rsid w:val="668A38E9"/>
    <w:rsid w:val="66CE64DE"/>
    <w:rsid w:val="66D21937"/>
    <w:rsid w:val="674C0116"/>
    <w:rsid w:val="677C1D86"/>
    <w:rsid w:val="67831A61"/>
    <w:rsid w:val="67B55190"/>
    <w:rsid w:val="67F6094B"/>
    <w:rsid w:val="68A00632"/>
    <w:rsid w:val="68AC4B9A"/>
    <w:rsid w:val="68FB3B7E"/>
    <w:rsid w:val="690762AF"/>
    <w:rsid w:val="69287777"/>
    <w:rsid w:val="69366F3A"/>
    <w:rsid w:val="69A0054D"/>
    <w:rsid w:val="69C64EA5"/>
    <w:rsid w:val="69E936DC"/>
    <w:rsid w:val="6A322341"/>
    <w:rsid w:val="6A77390C"/>
    <w:rsid w:val="6AF3713C"/>
    <w:rsid w:val="6B1C4496"/>
    <w:rsid w:val="6B376C34"/>
    <w:rsid w:val="6BA87F93"/>
    <w:rsid w:val="6BD84A7F"/>
    <w:rsid w:val="6C2A0EFA"/>
    <w:rsid w:val="6C7B50DE"/>
    <w:rsid w:val="6CC02D04"/>
    <w:rsid w:val="6D350E97"/>
    <w:rsid w:val="6D390973"/>
    <w:rsid w:val="6D6D5F4E"/>
    <w:rsid w:val="6D886EFA"/>
    <w:rsid w:val="6DB854D6"/>
    <w:rsid w:val="6E4008B0"/>
    <w:rsid w:val="6ECE7C1C"/>
    <w:rsid w:val="6EEB7CCE"/>
    <w:rsid w:val="6F93454C"/>
    <w:rsid w:val="701A3712"/>
    <w:rsid w:val="703603C3"/>
    <w:rsid w:val="706C1A50"/>
    <w:rsid w:val="70803B2D"/>
    <w:rsid w:val="70AF229B"/>
    <w:rsid w:val="70F51B5C"/>
    <w:rsid w:val="710F6F32"/>
    <w:rsid w:val="71512C49"/>
    <w:rsid w:val="71661C44"/>
    <w:rsid w:val="717E223A"/>
    <w:rsid w:val="718513B2"/>
    <w:rsid w:val="71B1120F"/>
    <w:rsid w:val="71D64F7C"/>
    <w:rsid w:val="71F54C9C"/>
    <w:rsid w:val="72561178"/>
    <w:rsid w:val="72E34466"/>
    <w:rsid w:val="733A179A"/>
    <w:rsid w:val="735F7483"/>
    <w:rsid w:val="736C170B"/>
    <w:rsid w:val="739D7F65"/>
    <w:rsid w:val="73BA6DE5"/>
    <w:rsid w:val="73E56406"/>
    <w:rsid w:val="73E8060A"/>
    <w:rsid w:val="75295C38"/>
    <w:rsid w:val="75812F96"/>
    <w:rsid w:val="75C54221"/>
    <w:rsid w:val="75CD3DB4"/>
    <w:rsid w:val="75F34E22"/>
    <w:rsid w:val="766E45FC"/>
    <w:rsid w:val="76C85175"/>
    <w:rsid w:val="77090A3A"/>
    <w:rsid w:val="770A310A"/>
    <w:rsid w:val="77195638"/>
    <w:rsid w:val="773C77FD"/>
    <w:rsid w:val="77766357"/>
    <w:rsid w:val="777827AE"/>
    <w:rsid w:val="777D7660"/>
    <w:rsid w:val="77880406"/>
    <w:rsid w:val="779B65B1"/>
    <w:rsid w:val="779D671E"/>
    <w:rsid w:val="77C364A2"/>
    <w:rsid w:val="785C5927"/>
    <w:rsid w:val="78B16B3E"/>
    <w:rsid w:val="78BD3664"/>
    <w:rsid w:val="78E83E1D"/>
    <w:rsid w:val="78ED29FE"/>
    <w:rsid w:val="79501115"/>
    <w:rsid w:val="79E119B9"/>
    <w:rsid w:val="79E50035"/>
    <w:rsid w:val="7A0D633B"/>
    <w:rsid w:val="7A0F6AA0"/>
    <w:rsid w:val="7A1E0228"/>
    <w:rsid w:val="7A26713E"/>
    <w:rsid w:val="7A3B09D3"/>
    <w:rsid w:val="7A63163F"/>
    <w:rsid w:val="7AAC4B34"/>
    <w:rsid w:val="7AE3339F"/>
    <w:rsid w:val="7AEF5512"/>
    <w:rsid w:val="7B3C50D0"/>
    <w:rsid w:val="7B722606"/>
    <w:rsid w:val="7B753D38"/>
    <w:rsid w:val="7BD61B09"/>
    <w:rsid w:val="7C335EBE"/>
    <w:rsid w:val="7C3F1C90"/>
    <w:rsid w:val="7D263586"/>
    <w:rsid w:val="7D783C20"/>
    <w:rsid w:val="7DAA2184"/>
    <w:rsid w:val="7E1A2D93"/>
    <w:rsid w:val="7E5B7F26"/>
    <w:rsid w:val="7EA45AFC"/>
    <w:rsid w:val="7EE215A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9"/>
    <w:pPr>
      <w:keepNext/>
      <w:keepLines/>
      <w:spacing w:before="340" w:after="330" w:line="360" w:lineRule="auto"/>
      <w:jc w:val="center"/>
      <w:outlineLvl w:val="0"/>
    </w:pPr>
    <w:rPr>
      <w:rFonts w:ascii="Times New Roman" w:hAnsi="Times New Roman"/>
      <w:b/>
      <w:bCs/>
      <w:kern w:val="44"/>
      <w:sz w:val="44"/>
      <w:szCs w:val="44"/>
    </w:rPr>
  </w:style>
  <w:style w:type="paragraph" w:styleId="3">
    <w:name w:val="heading 2"/>
    <w:basedOn w:val="1"/>
    <w:next w:val="1"/>
    <w:link w:val="20"/>
    <w:unhideWhenUsed/>
    <w:qFormat/>
    <w:uiPriority w:val="0"/>
    <w:pPr>
      <w:keepNext/>
      <w:keepLines/>
      <w:spacing w:before="260" w:after="260" w:line="416" w:lineRule="auto"/>
      <w:outlineLvl w:val="1"/>
    </w:pPr>
    <w:rPr>
      <w:rFonts w:ascii="Arial" w:hAnsi="Arial" w:eastAsia="黑体" w:cstheme="minorBidi"/>
      <w:b/>
      <w:bCs/>
      <w:sz w:val="32"/>
      <w:szCs w:val="32"/>
    </w:rPr>
  </w:style>
  <w:style w:type="character" w:default="1" w:styleId="9">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First Indent"/>
    <w:basedOn w:val="5"/>
    <w:link w:val="19"/>
    <w:qFormat/>
    <w:uiPriority w:val="0"/>
    <w:pPr>
      <w:ind w:firstLine="420" w:firstLineChars="100"/>
    </w:pPr>
  </w:style>
  <w:style w:type="paragraph" w:styleId="5">
    <w:name w:val="Body Text"/>
    <w:basedOn w:val="1"/>
    <w:link w:val="18"/>
    <w:qFormat/>
    <w:uiPriority w:val="0"/>
    <w:pPr>
      <w:spacing w:after="120"/>
    </w:pPr>
  </w:style>
  <w:style w:type="paragraph" w:styleId="6">
    <w:name w:val="Body Text Indent"/>
    <w:basedOn w:val="1"/>
    <w:qFormat/>
    <w:uiPriority w:val="0"/>
    <w:pPr>
      <w:ind w:left="-105" w:firstLine="232" w:firstLineChars="232"/>
    </w:pPr>
    <w:rPr>
      <w:rFonts w:eastAsia="仿宋_GB2312"/>
      <w:sz w:val="32"/>
    </w:rPr>
  </w:style>
  <w:style w:type="paragraph" w:styleId="7">
    <w:name w:val="footer"/>
    <w:basedOn w:val="1"/>
    <w:link w:val="16"/>
    <w:qFormat/>
    <w:uiPriority w:val="0"/>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character" w:styleId="10">
    <w:name w:val="Hyperlink"/>
    <w:qFormat/>
    <w:uiPriority w:val="0"/>
    <w:rPr>
      <w:color w:val="006699"/>
      <w:u w:val="single"/>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3">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0"/>
    </w:rPr>
  </w:style>
  <w:style w:type="paragraph" w:customStyle="1" w:styleId="14">
    <w:name w:val="正文 1.1.1"/>
    <w:basedOn w:val="1"/>
    <w:next w:val="1"/>
    <w:qFormat/>
    <w:uiPriority w:val="99"/>
    <w:pPr>
      <w:adjustRightInd w:val="0"/>
      <w:spacing w:line="360" w:lineRule="auto"/>
      <w:textAlignment w:val="baseline"/>
      <w:outlineLvl w:val="2"/>
    </w:pPr>
    <w:rPr>
      <w:rFonts w:ascii="宋体" w:hAnsi="宋体" w:eastAsia="仿宋"/>
      <w:kern w:val="0"/>
      <w:sz w:val="28"/>
      <w:szCs w:val="21"/>
    </w:rPr>
  </w:style>
  <w:style w:type="character" w:customStyle="1" w:styleId="15">
    <w:name w:val="页眉 Char"/>
    <w:basedOn w:val="9"/>
    <w:link w:val="8"/>
    <w:qFormat/>
    <w:uiPriority w:val="0"/>
    <w:rPr>
      <w:rFonts w:ascii="Calibri" w:hAnsi="Calibri"/>
      <w:kern w:val="2"/>
      <w:sz w:val="18"/>
      <w:szCs w:val="18"/>
    </w:rPr>
  </w:style>
  <w:style w:type="character" w:customStyle="1" w:styleId="16">
    <w:name w:val="页脚 Char"/>
    <w:basedOn w:val="9"/>
    <w:link w:val="7"/>
    <w:qFormat/>
    <w:uiPriority w:val="0"/>
    <w:rPr>
      <w:rFonts w:ascii="Calibri" w:hAnsi="Calibri"/>
      <w:kern w:val="2"/>
      <w:sz w:val="18"/>
      <w:szCs w:val="18"/>
    </w:rPr>
  </w:style>
  <w:style w:type="paragraph" w:styleId="17">
    <w:name w:val="List Paragraph"/>
    <w:basedOn w:val="1"/>
    <w:unhideWhenUsed/>
    <w:qFormat/>
    <w:uiPriority w:val="99"/>
    <w:pPr>
      <w:ind w:firstLine="420" w:firstLineChars="200"/>
    </w:pPr>
  </w:style>
  <w:style w:type="character" w:customStyle="1" w:styleId="18">
    <w:name w:val="正文文本 Char"/>
    <w:basedOn w:val="9"/>
    <w:link w:val="5"/>
    <w:qFormat/>
    <w:uiPriority w:val="0"/>
    <w:rPr>
      <w:kern w:val="2"/>
      <w:sz w:val="21"/>
      <w:szCs w:val="22"/>
    </w:rPr>
  </w:style>
  <w:style w:type="character" w:customStyle="1" w:styleId="19">
    <w:name w:val="正文首行缩进 Char"/>
    <w:basedOn w:val="18"/>
    <w:link w:val="4"/>
    <w:uiPriority w:val="0"/>
    <w:rPr>
      <w:kern w:val="2"/>
      <w:sz w:val="21"/>
      <w:szCs w:val="22"/>
    </w:rPr>
  </w:style>
  <w:style w:type="character" w:customStyle="1" w:styleId="20">
    <w:name w:val="标题 2 Char"/>
    <w:basedOn w:val="9"/>
    <w:link w:val="3"/>
    <w:qFormat/>
    <w:uiPriority w:val="0"/>
    <w:rPr>
      <w:rFonts w:ascii="Arial" w:hAnsi="Arial" w:eastAsia="黑体" w:cstheme="minorBidi"/>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20</Pages>
  <Words>1190</Words>
  <Characters>6785</Characters>
  <Lines>56</Lines>
  <Paragraphs>15</Paragraphs>
  <TotalTime>10</TotalTime>
  <ScaleCrop>false</ScaleCrop>
  <LinksUpToDate>false</LinksUpToDate>
  <CharactersWithSpaces>7960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2018-08-29T00:13:00Z</dcterms:created>
  <dc:creator>yy</dc:creator>
  <cp:lastModifiedBy>yy</cp:lastModifiedBy>
  <cp:lastPrinted>2018-06-09T03:11:00Z</cp:lastPrinted>
  <dcterms:modified xsi:type="dcterms:W3CDTF">2018-09-04T01:40:58Z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