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w:t>
      </w:r>
      <w:r>
        <w:rPr>
          <w:rFonts w:hint="eastAsia" w:ascii="楷体_GB2312" w:hAnsi="楷体_GB2312" w:eastAsia="楷体_GB2312" w:cs="楷体_GB2312"/>
          <w:b/>
          <w:bCs/>
          <w:color w:val="000000"/>
          <w:sz w:val="36"/>
          <w:szCs w:val="36"/>
          <w:u w:val="single"/>
        </w:rPr>
        <w:t>9</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rPr>
        <w:t>16</w:t>
      </w:r>
      <w:r>
        <w:rPr>
          <w:rFonts w:ascii="楷体_GB2312" w:hAnsi="楷体_GB2312" w:eastAsia="楷体_GB2312" w:cs="楷体_GB2312"/>
          <w:b/>
          <w:bCs/>
          <w:color w:val="000000"/>
          <w:sz w:val="36"/>
          <w:szCs w:val="36"/>
          <w:u w:val="single"/>
        </w:rPr>
        <w:t>#</w:t>
      </w:r>
    </w:p>
    <w:p>
      <w:pPr>
        <w:ind w:right="-483" w:rightChars="-230"/>
        <w:rPr>
          <w:rFonts w:ascii="楷体" w:hAnsi="楷体" w:eastAsia="楷体" w:cs="??_GB2312"/>
          <w:b/>
          <w:bCs/>
          <w:color w:val="000000"/>
          <w:sz w:val="36"/>
          <w:szCs w:val="36"/>
          <w:u w:val="single"/>
          <w:lang w:val="zh-TW"/>
        </w:rPr>
      </w:pPr>
      <w:r>
        <w:rPr>
          <w:rFonts w:hint="eastAsia" w:ascii="宋体" w:cs="宋体"/>
          <w:b/>
          <w:bCs/>
          <w:color w:val="000000"/>
          <w:sz w:val="36"/>
          <w:szCs w:val="36"/>
        </w:rPr>
        <w:t>项目名称：</w:t>
      </w:r>
      <w:r>
        <w:rPr>
          <w:rFonts w:hint="eastAsia" w:ascii="楷体" w:hAnsi="楷体" w:eastAsia="楷体" w:cs="??_GB2312"/>
          <w:b/>
          <w:bCs/>
          <w:color w:val="000000"/>
          <w:sz w:val="36"/>
          <w:szCs w:val="36"/>
          <w:u w:val="single"/>
          <w:lang w:val="zh-TW"/>
        </w:rPr>
        <w:t>研发中心办公室改造项目</w:t>
      </w:r>
    </w:p>
    <w:p>
      <w:pPr>
        <w:ind w:right="-483" w:rightChars="-230"/>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rPr>
        <w:t>9年3月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p>
    <w:p>
      <w:pPr>
        <w:spacing w:line="700" w:lineRule="exact"/>
        <w:jc w:val="center"/>
        <w:rPr>
          <w:b/>
          <w:bCs/>
          <w:sz w:val="44"/>
        </w:rPr>
      </w:pPr>
    </w:p>
    <w:p>
      <w:pPr>
        <w:spacing w:line="700" w:lineRule="exact"/>
        <w:jc w:val="center"/>
        <w:rPr>
          <w:b/>
          <w:bCs/>
          <w:sz w:val="44"/>
        </w:rPr>
      </w:pPr>
      <w:r>
        <w:rPr>
          <w:rFonts w:hint="eastAsia"/>
          <w:b/>
          <w:bCs/>
          <w:sz w:val="44"/>
        </w:rPr>
        <w:t>提示</w:t>
      </w:r>
    </w:p>
    <w:p>
      <w:pPr>
        <w:spacing w:line="700" w:lineRule="exact"/>
        <w:jc w:val="center"/>
        <w:rPr>
          <w:rFonts w:ascii="??_GB2312" w:eastAsia="Times New Roman"/>
          <w:sz w:val="32"/>
          <w:szCs w:val="32"/>
        </w:rPr>
      </w:pP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联系人：杨老师0515—68661002</w:t>
      </w:r>
    </w:p>
    <w:p>
      <w:pPr>
        <w:pStyle w:val="6"/>
        <w:spacing w:line="600" w:lineRule="exact"/>
        <w:ind w:firstLine="464"/>
        <w:rPr>
          <w:rFonts w:ascii="??_GB2312"/>
          <w:color w:val="000000"/>
          <w:szCs w:val="32"/>
        </w:rPr>
      </w:pPr>
    </w:p>
    <w:p>
      <w:pPr>
        <w:pStyle w:val="6"/>
        <w:spacing w:line="600" w:lineRule="exact"/>
        <w:ind w:firstLine="464"/>
        <w:rPr>
          <w:rFonts w:ascii="??_GB2312"/>
          <w:color w:val="000000"/>
          <w:szCs w:val="32"/>
        </w:rPr>
      </w:pPr>
    </w:p>
    <w:p>
      <w:pPr>
        <w:pStyle w:val="6"/>
        <w:spacing w:line="600" w:lineRule="exact"/>
        <w:ind w:firstLine="464"/>
        <w:rPr>
          <w:rFonts w:ascii="??_GB2312"/>
          <w:color w:val="000000"/>
          <w:szCs w:val="32"/>
        </w:rPr>
      </w:pPr>
    </w:p>
    <w:p>
      <w:pPr>
        <w:pStyle w:val="6"/>
        <w:spacing w:line="600" w:lineRule="exact"/>
        <w:ind w:firstLine="464"/>
        <w:rPr>
          <w:rFonts w:ascii="??_GB2312"/>
          <w:color w:val="000000"/>
          <w:szCs w:val="32"/>
        </w:rPr>
      </w:pPr>
    </w:p>
    <w:p>
      <w:pPr>
        <w:pStyle w:val="6"/>
        <w:spacing w:line="600" w:lineRule="exact"/>
        <w:ind w:firstLine="464"/>
        <w:rPr>
          <w:rFonts w:ascii="??_GB2312"/>
          <w:color w:val="000000"/>
          <w:szCs w:val="32"/>
        </w:rPr>
      </w:pPr>
    </w:p>
    <w:p>
      <w:pPr>
        <w:pStyle w:val="6"/>
        <w:spacing w:line="600" w:lineRule="exact"/>
        <w:ind w:left="0" w:firstLine="0" w:firstLineChars="0"/>
        <w:rPr>
          <w:rFonts w:ascii="??_GB2312"/>
          <w:color w:val="000000"/>
          <w:szCs w:val="32"/>
        </w:rPr>
      </w:pPr>
    </w:p>
    <w:p>
      <w:pPr>
        <w:tabs>
          <w:tab w:val="left" w:pos="2600"/>
        </w:tabs>
        <w:spacing w:beforeLines="50" w:afterLines="50"/>
        <w:jc w:val="center"/>
        <w:rPr>
          <w:rFonts w:eastAsia="黑体"/>
          <w:sz w:val="44"/>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研发中心办公室改造项目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spacing w:line="560" w:lineRule="exact"/>
        <w:ind w:firstLine="562" w:firstLineChars="200"/>
        <w:jc w:val="center"/>
        <w:rPr>
          <w:rFonts w:ascii="宋体" w:hAnsi="宋体" w:cs="宋体"/>
          <w:sz w:val="28"/>
          <w:szCs w:val="28"/>
        </w:rPr>
      </w:pPr>
      <w:r>
        <w:rPr>
          <w:rFonts w:hint="eastAsia" w:ascii="宋体" w:hAnsi="宋体" w:cs="宋体"/>
          <w:b/>
          <w:bCs/>
          <w:color w:val="000000"/>
          <w:sz w:val="28"/>
          <w:szCs w:val="28"/>
        </w:rPr>
        <w:t>工程量清单</w:t>
      </w:r>
    </w:p>
    <w:tbl>
      <w:tblPr>
        <w:tblStyle w:val="9"/>
        <w:tblW w:w="83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709"/>
        <w:gridCol w:w="880"/>
        <w:gridCol w:w="986"/>
        <w:gridCol w:w="102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3709"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tc>
        <w:tc>
          <w:tcPr>
            <w:tcW w:w="880"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986"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工作量</w:t>
            </w:r>
          </w:p>
        </w:tc>
        <w:tc>
          <w:tcPr>
            <w:tcW w:w="1025"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单价</w:t>
            </w:r>
          </w:p>
        </w:tc>
        <w:tc>
          <w:tcPr>
            <w:tcW w:w="1020"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709" w:type="dxa"/>
          </w:tcPr>
          <w:p>
            <w:pPr>
              <w:pStyle w:val="5"/>
              <w:spacing w:line="360" w:lineRule="auto"/>
              <w:ind w:firstLine="0"/>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轻钢龙骨隔断</w:t>
            </w:r>
          </w:p>
          <w:p>
            <w:pPr>
              <w:pStyle w:val="5"/>
              <w:spacing w:line="360" w:lineRule="auto"/>
              <w:ind w:firstLine="0"/>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(含墙面用木工板、纸面石膏板双面覆盖，涂料粉刷处理)</w:t>
            </w:r>
          </w:p>
        </w:tc>
        <w:tc>
          <w:tcPr>
            <w:tcW w:w="880"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平方</w:t>
            </w:r>
          </w:p>
        </w:tc>
        <w:tc>
          <w:tcPr>
            <w:tcW w:w="986"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42.875</w:t>
            </w:r>
          </w:p>
        </w:tc>
        <w:tc>
          <w:tcPr>
            <w:tcW w:w="1025" w:type="dxa"/>
            <w:vAlign w:val="center"/>
          </w:tcPr>
          <w:p>
            <w:pPr>
              <w:spacing w:line="400" w:lineRule="exact"/>
              <w:jc w:val="center"/>
              <w:rPr>
                <w:rFonts w:ascii="仿宋_GB2312" w:hAnsi="仿宋_GB2312" w:eastAsia="仿宋_GB2312" w:cs="仿宋_GB2312"/>
                <w:sz w:val="24"/>
                <w:szCs w:val="24"/>
              </w:rPr>
            </w:pPr>
          </w:p>
        </w:tc>
        <w:tc>
          <w:tcPr>
            <w:tcW w:w="1020"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709" w:type="dxa"/>
          </w:tcPr>
          <w:p>
            <w:pPr>
              <w:pStyle w:val="5"/>
              <w:spacing w:line="360" w:lineRule="auto"/>
              <w:ind w:firstLine="0"/>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纸面石膏板吊顶</w:t>
            </w:r>
          </w:p>
        </w:tc>
        <w:tc>
          <w:tcPr>
            <w:tcW w:w="880"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平方</w:t>
            </w:r>
          </w:p>
        </w:tc>
        <w:tc>
          <w:tcPr>
            <w:tcW w:w="986"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31.5</w:t>
            </w:r>
          </w:p>
        </w:tc>
        <w:tc>
          <w:tcPr>
            <w:tcW w:w="1025" w:type="dxa"/>
            <w:vAlign w:val="center"/>
          </w:tcPr>
          <w:p>
            <w:pPr>
              <w:spacing w:line="400" w:lineRule="exact"/>
              <w:jc w:val="center"/>
              <w:rPr>
                <w:rFonts w:ascii="仿宋_GB2312" w:hAnsi="仿宋_GB2312" w:eastAsia="仿宋_GB2312" w:cs="仿宋_GB2312"/>
                <w:sz w:val="24"/>
                <w:szCs w:val="24"/>
              </w:rPr>
            </w:pPr>
          </w:p>
        </w:tc>
        <w:tc>
          <w:tcPr>
            <w:tcW w:w="1020"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95"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709" w:type="dxa"/>
          </w:tcPr>
          <w:p>
            <w:pPr>
              <w:pStyle w:val="5"/>
              <w:spacing w:line="360" w:lineRule="auto"/>
              <w:ind w:firstLine="0"/>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移空调进风口、检修孔、筒灯各5个</w:t>
            </w:r>
          </w:p>
        </w:tc>
        <w:tc>
          <w:tcPr>
            <w:tcW w:w="880"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个</w:t>
            </w:r>
          </w:p>
        </w:tc>
        <w:tc>
          <w:tcPr>
            <w:tcW w:w="986"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5</w:t>
            </w:r>
          </w:p>
        </w:tc>
        <w:tc>
          <w:tcPr>
            <w:tcW w:w="1025" w:type="dxa"/>
            <w:vAlign w:val="center"/>
          </w:tcPr>
          <w:p>
            <w:pPr>
              <w:spacing w:line="400" w:lineRule="exact"/>
              <w:jc w:val="center"/>
              <w:rPr>
                <w:rFonts w:ascii="仿宋_GB2312" w:hAnsi="仿宋_GB2312" w:eastAsia="仿宋_GB2312" w:cs="仿宋_GB2312"/>
                <w:sz w:val="24"/>
                <w:szCs w:val="24"/>
              </w:rPr>
            </w:pPr>
          </w:p>
        </w:tc>
        <w:tc>
          <w:tcPr>
            <w:tcW w:w="1020"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709" w:type="dxa"/>
          </w:tcPr>
          <w:p>
            <w:pPr>
              <w:pStyle w:val="5"/>
              <w:spacing w:line="360" w:lineRule="auto"/>
              <w:ind w:firstLine="0"/>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新旧天花板之间侧面15cm做格栅</w:t>
            </w:r>
          </w:p>
        </w:tc>
        <w:tc>
          <w:tcPr>
            <w:tcW w:w="880"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m</w:t>
            </w:r>
          </w:p>
        </w:tc>
        <w:tc>
          <w:tcPr>
            <w:tcW w:w="986"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17.5</w:t>
            </w:r>
          </w:p>
        </w:tc>
        <w:tc>
          <w:tcPr>
            <w:tcW w:w="1025" w:type="dxa"/>
            <w:vAlign w:val="center"/>
          </w:tcPr>
          <w:p>
            <w:pPr>
              <w:spacing w:line="400" w:lineRule="exact"/>
              <w:jc w:val="center"/>
              <w:rPr>
                <w:rFonts w:ascii="仿宋_GB2312" w:hAnsi="仿宋_GB2312" w:eastAsia="仿宋_GB2312" w:cs="仿宋_GB2312"/>
                <w:sz w:val="24"/>
                <w:szCs w:val="24"/>
              </w:rPr>
            </w:pPr>
          </w:p>
        </w:tc>
        <w:tc>
          <w:tcPr>
            <w:tcW w:w="1020"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709" w:type="dxa"/>
          </w:tcPr>
          <w:p>
            <w:pPr>
              <w:pStyle w:val="5"/>
              <w:spacing w:line="360" w:lineRule="auto"/>
              <w:ind w:firstLine="0"/>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顶面粉刷</w:t>
            </w:r>
          </w:p>
        </w:tc>
        <w:tc>
          <w:tcPr>
            <w:tcW w:w="880"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平方</w:t>
            </w:r>
          </w:p>
        </w:tc>
        <w:tc>
          <w:tcPr>
            <w:tcW w:w="986"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31.5</w:t>
            </w:r>
          </w:p>
        </w:tc>
        <w:tc>
          <w:tcPr>
            <w:tcW w:w="1025" w:type="dxa"/>
            <w:vAlign w:val="center"/>
          </w:tcPr>
          <w:p>
            <w:pPr>
              <w:spacing w:line="400" w:lineRule="exact"/>
              <w:jc w:val="center"/>
              <w:rPr>
                <w:rFonts w:ascii="仿宋_GB2312" w:hAnsi="仿宋_GB2312" w:eastAsia="仿宋_GB2312" w:cs="仿宋_GB2312"/>
                <w:sz w:val="24"/>
                <w:szCs w:val="24"/>
              </w:rPr>
            </w:pPr>
          </w:p>
        </w:tc>
        <w:tc>
          <w:tcPr>
            <w:tcW w:w="1020"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5"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709" w:type="dxa"/>
          </w:tcPr>
          <w:p>
            <w:pPr>
              <w:pStyle w:val="5"/>
              <w:spacing w:line="360" w:lineRule="auto"/>
              <w:ind w:firstLine="0"/>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墙面粉刷</w:t>
            </w:r>
          </w:p>
        </w:tc>
        <w:tc>
          <w:tcPr>
            <w:tcW w:w="880"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平方</w:t>
            </w:r>
          </w:p>
        </w:tc>
        <w:tc>
          <w:tcPr>
            <w:tcW w:w="986" w:type="dxa"/>
            <w:vAlign w:val="center"/>
          </w:tcPr>
          <w:p>
            <w:pPr>
              <w:pStyle w:val="5"/>
              <w:spacing w:line="360" w:lineRule="auto"/>
              <w:ind w:firstLine="0"/>
              <w:jc w:val="center"/>
              <w:rPr>
                <w:rFonts w:ascii="仿宋_GB2312" w:hAnsi="仿宋_GB2312" w:eastAsia="仿宋_GB2312" w:cs="仿宋_GB2312"/>
                <w:color w:val="000000"/>
                <w:szCs w:val="24"/>
              </w:rPr>
            </w:pPr>
            <w:r>
              <w:rPr>
                <w:rFonts w:ascii="仿宋_GB2312" w:hAnsi="仿宋_GB2312" w:eastAsia="仿宋_GB2312" w:cs="仿宋_GB2312"/>
                <w:color w:val="000000"/>
                <w:szCs w:val="24"/>
              </w:rPr>
              <w:t>107.8</w:t>
            </w:r>
          </w:p>
        </w:tc>
        <w:tc>
          <w:tcPr>
            <w:tcW w:w="1025" w:type="dxa"/>
            <w:vAlign w:val="center"/>
          </w:tcPr>
          <w:p>
            <w:pPr>
              <w:spacing w:line="400" w:lineRule="exact"/>
              <w:jc w:val="center"/>
              <w:rPr>
                <w:rFonts w:ascii="仿宋_GB2312" w:hAnsi="仿宋_GB2312" w:eastAsia="仿宋_GB2312" w:cs="仿宋_GB2312"/>
                <w:sz w:val="24"/>
                <w:szCs w:val="24"/>
              </w:rPr>
            </w:pPr>
          </w:p>
        </w:tc>
        <w:tc>
          <w:tcPr>
            <w:tcW w:w="1020"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709" w:type="dxa"/>
          </w:tcPr>
          <w:p>
            <w:pPr>
              <w:pStyle w:val="5"/>
              <w:spacing w:line="360" w:lineRule="auto"/>
              <w:ind w:firstLine="0"/>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门（含安装调试）</w:t>
            </w:r>
          </w:p>
        </w:tc>
        <w:tc>
          <w:tcPr>
            <w:tcW w:w="880"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樘</w:t>
            </w:r>
          </w:p>
        </w:tc>
        <w:tc>
          <w:tcPr>
            <w:tcW w:w="986"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5</w:t>
            </w:r>
          </w:p>
        </w:tc>
        <w:tc>
          <w:tcPr>
            <w:tcW w:w="1025" w:type="dxa"/>
            <w:vAlign w:val="center"/>
          </w:tcPr>
          <w:p>
            <w:pPr>
              <w:spacing w:line="400" w:lineRule="exact"/>
              <w:jc w:val="center"/>
              <w:rPr>
                <w:rFonts w:ascii="仿宋_GB2312" w:hAnsi="仿宋_GB2312" w:eastAsia="仿宋_GB2312" w:cs="仿宋_GB2312"/>
                <w:sz w:val="24"/>
                <w:szCs w:val="24"/>
              </w:rPr>
            </w:pPr>
          </w:p>
        </w:tc>
        <w:tc>
          <w:tcPr>
            <w:tcW w:w="1020" w:type="dxa"/>
            <w:vAlign w:val="center"/>
          </w:tcPr>
          <w:p>
            <w:pPr>
              <w:spacing w:line="400" w:lineRule="exact"/>
              <w:jc w:val="center"/>
              <w:rPr>
                <w:rFonts w:ascii="仿宋_GB2312" w:hAnsi="仿宋_GB2312" w:eastAsia="仿宋_GB2312" w:cs="仿宋_GB2312"/>
                <w:sz w:val="24"/>
                <w:szCs w:val="24"/>
              </w:rPr>
            </w:pPr>
          </w:p>
        </w:tc>
      </w:tr>
    </w:tbl>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备注：1、本项目采用 “全费用固定单价”报价方式，即将所有费用摊销至单价中。投标单价作为结算的依据，在本项目中除双方另有约定外，其中标单价一律不得调整。</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所有施工材料均由投标人自选采购，要求必须是正规企业生产的品牌产品，材料进场时需主动向招标人提供产品合格证明，其中木工板、纸面石膏线、油漆涂料必须是环保产品，需同时向招标人提供权威部门出具的环保检测合格证明。</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投标人应充分了解项目的位置、周边环境、道路、装卸、安装限制以及影响投标报价的其他要素，结合市场情况进行投标报价，具体工作量以现场踏勘为准。（招标人组织现场踏勘，各投标人根据需要可在约定时间进行现场踏勘。现场踏勘联系人：吴老师，0515-68661003）。 </w:t>
      </w:r>
    </w:p>
    <w:p>
      <w:pPr>
        <w:spacing w:line="560" w:lineRule="exact"/>
        <w:ind w:firstLine="560" w:firstLineChars="200"/>
      </w:pPr>
      <w:r>
        <w:rPr>
          <w:rFonts w:hint="eastAsia" w:ascii="仿宋_GB2312" w:hAnsi="仿宋_GB2312" w:eastAsia="仿宋_GB2312" w:cs="仿宋_GB2312"/>
          <w:sz w:val="28"/>
          <w:szCs w:val="28"/>
        </w:rPr>
        <w:t>3、投标报价含为完成施工所发生的一切费用（人工费、材料费、运输费、上下力支费用、垃圾清运出校园的处理费用、管理费、税金、不可预见费用及投标所发生的费用等）。</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pacing w:line="360" w:lineRule="auto"/>
        <w:ind w:firstLine="405"/>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具有具有建设行政主管部门核发的建筑装修装饰工程专业承包资质二级及以上或建筑工程施工总承包资质叁级及以上的独立法人，并取得建设行政主管部门颁发的安全生产许可证。</w:t>
      </w:r>
    </w:p>
    <w:p>
      <w:pPr>
        <w:spacing w:line="360" w:lineRule="auto"/>
        <w:ind w:firstLine="405"/>
        <w:rPr>
          <w:rFonts w:ascii="仿宋_GB2312" w:eastAsia="仿宋_GB2312" w:cs="仿宋_GB2312"/>
          <w:color w:val="000000"/>
          <w:sz w:val="28"/>
          <w:szCs w:val="28"/>
        </w:rPr>
      </w:pPr>
      <w:r>
        <w:rPr>
          <w:rFonts w:hint="eastAsia" w:ascii="仿宋_GB2312" w:eastAsia="仿宋_GB2312" w:cs="仿宋_GB2312"/>
          <w:color w:val="000000"/>
          <w:sz w:val="28"/>
          <w:szCs w:val="28"/>
        </w:rPr>
        <w:t>3、项目负责人的资格要求：项目负责人必须是投标人本单位正式职工，具有建筑工程专业二级及以上注册建造师资格，同时具有有效的安全生产考核合格证书（B类）。</w:t>
      </w:r>
    </w:p>
    <w:p>
      <w:pPr>
        <w:spacing w:line="360" w:lineRule="auto"/>
        <w:ind w:firstLine="405"/>
        <w:rPr>
          <w:rFonts w:ascii="仿宋_GB2312" w:eastAsia="仿宋_GB2312" w:cs="仿宋_GB2312"/>
          <w:color w:val="000000"/>
          <w:sz w:val="28"/>
          <w:szCs w:val="28"/>
        </w:rPr>
      </w:pPr>
      <w:r>
        <w:rPr>
          <w:rFonts w:hint="eastAsia" w:ascii="仿宋_GB2312" w:eastAsia="仿宋_GB2312" w:cs="仿宋_GB2312"/>
          <w:color w:val="000000"/>
          <w:sz w:val="28"/>
          <w:szCs w:val="28"/>
        </w:rPr>
        <w:t>4、投标申请人须保证项目负责人及授权委托人均为本单位的正式职工，并确保从投标截止之日当月向前连续6个月均连续在本单位缴纳养老保险（例：如开标日期为2018年12月5日，则投标单位需保证以上人员2018年6-11月养老</w:t>
      </w:r>
      <w:bookmarkStart w:id="0" w:name="_GoBack"/>
      <w:bookmarkEnd w:id="0"/>
      <w:r>
        <w:rPr>
          <w:rFonts w:hint="eastAsia" w:ascii="仿宋_GB2312" w:eastAsia="仿宋_GB2312" w:cs="仿宋_GB2312"/>
          <w:color w:val="000000"/>
          <w:sz w:val="28"/>
          <w:szCs w:val="28"/>
        </w:rPr>
        <w:t>保险均在本单位缴纳）。</w:t>
      </w:r>
    </w:p>
    <w:p>
      <w:pPr>
        <w:spacing w:line="360" w:lineRule="auto"/>
        <w:ind w:firstLine="405"/>
      </w:pPr>
      <w:r>
        <w:rPr>
          <w:rFonts w:hint="eastAsia" w:ascii="仿宋_GB2312" w:eastAsia="仿宋_GB2312" w:cs="仿宋_GB2312"/>
          <w:color w:val="000000"/>
          <w:sz w:val="28"/>
          <w:szCs w:val="28"/>
        </w:rPr>
        <w:t>5、投标人拟派往本工程项目的主要技术负责人员，必须保证施工全过程在本项目工地工作，未得到招标人认可，不得擅自更换，否则招标人可视为违约。</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6.投标人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原件（复印件盖单位公章）、法定代表人（盖章）的授权委托书、法定代表人身份证复印件（盖单位公章）、法定代表人身份证原件（委托的就携带法定代表人授权的委托人的身份证原件，复印件盖单位公章）、资质证书原件（复印件盖单位公章），项目负责人建造师证书原件（复印件盖单位公章）。</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7.投标人未处于投标资格被取消或者财产被接管、冻结和破产状态；没有因骗取中标或严重违约以及发生重大质量、安全生产事故等问题被有关部门暂停投标资格并在暂停期内的。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8.本次招标不接受联合体投标。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1．招标内容：办公室改造。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2．质量标准：符合国家质量体系标准。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3．预算金额：</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5万元；超过预算金额的报价为无效报价。</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4．施工期限：合同签订</w:t>
      </w:r>
      <w:r>
        <w:rPr>
          <w:rFonts w:hint="eastAsia" w:ascii="仿宋_GB2312" w:hAnsi="仿宋_GB2312" w:eastAsia="仿宋_GB2312" w:cs="仿宋_GB2312"/>
          <w:color w:val="000000"/>
          <w:kern w:val="0"/>
          <w:sz w:val="28"/>
          <w:szCs w:val="28"/>
        </w:rPr>
        <w:t>之日起7</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rPr>
        <w:t>2000元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履约保证金的退还：按合同要求施工并验收合格，项目完成后全额退还（无息）。</w:t>
      </w:r>
    </w:p>
    <w:p>
      <w:pPr>
        <w:spacing w:line="560" w:lineRule="exact"/>
        <w:ind w:firstLine="562" w:firstLineChars="200"/>
        <w:rPr>
          <w:rFonts w:ascii="黑体" w:hAnsi="黑体" w:eastAsia="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年3月</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）国家法定节假日不接受报名；</w:t>
      </w:r>
    </w:p>
    <w:p>
      <w:pPr>
        <w:shd w:val="clear" w:color="auto" w:fill="FFFFFF"/>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hint="eastAsia" w:ascii="仿宋_GB2312" w:hAnsi="仿宋_GB2312" w:eastAsia="仿宋_GB2312" w:cs="仿宋_GB2312"/>
          <w:b/>
          <w:bCs/>
          <w:color w:val="000000"/>
          <w:sz w:val="28"/>
          <w:szCs w:val="28"/>
          <w:u w:val="single"/>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年3月</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日9时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p>
    <w:p>
      <w:pPr>
        <w:shd w:val="clear" w:color="auto" w:fill="FFFFFF"/>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年3月</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日9时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p>
    <w:p>
      <w:pPr>
        <w:shd w:val="clear" w:color="auto" w:fill="FFFFFF"/>
        <w:spacing w:line="500" w:lineRule="exact"/>
        <w:ind w:firstLine="560" w:firstLineChars="200"/>
        <w:rPr>
          <w:rFonts w:ascii="仿宋_GB2312" w:hAnsi="仿宋_GB2312" w:eastAsia="仿宋_GB2312"/>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lang w:val="en-US" w:eastAsia="zh-CN"/>
        </w:rPr>
        <w:t>六、</w:t>
      </w:r>
      <w:r>
        <w:rPr>
          <w:rFonts w:hint="eastAsia" w:ascii="黑体" w:hAnsi="黑体" w:eastAsia="黑体" w:cs="黑体"/>
          <w:b/>
          <w:bCs/>
          <w:sz w:val="28"/>
          <w:szCs w:val="28"/>
        </w:rPr>
        <w:t>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lang w:val="en-US" w:eastAsia="zh-CN"/>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w:t>
      </w:r>
      <w:r>
        <w:rPr>
          <w:rFonts w:hint="eastAsia" w:ascii="仿宋_GB2312" w:hAnsi="??" w:eastAsia="仿宋_GB2312" w:cs="仿宋_GB2312"/>
          <w:color w:val="000000"/>
          <w:sz w:val="28"/>
          <w:szCs w:val="28"/>
          <w:lang w:val="en-US" w:eastAsia="zh-CN"/>
        </w:rPr>
        <w:t>2</w:t>
      </w:r>
      <w:r>
        <w:rPr>
          <w:rFonts w:hint="eastAsia" w:ascii="仿宋_GB2312" w:hAnsi="??" w:eastAsia="仿宋_GB2312" w:cs="仿宋_GB2312"/>
          <w:color w:val="000000"/>
          <w:sz w:val="28"/>
          <w:szCs w:val="28"/>
        </w:rPr>
        <w:t>天书面或电话告知我们（联系人：</w:t>
      </w:r>
      <w:r>
        <w:rPr>
          <w:rFonts w:hint="eastAsia" w:ascii="仿宋_GB2312" w:hAnsi="??" w:eastAsia="仿宋_GB2312" w:cs="仿宋_GB2312"/>
          <w:color w:val="000000"/>
          <w:sz w:val="28"/>
          <w:szCs w:val="28"/>
          <w:lang w:eastAsia="zh-CN"/>
        </w:rPr>
        <w:t>杨</w:t>
      </w:r>
      <w:r>
        <w:rPr>
          <w:rFonts w:hint="eastAsia" w:ascii="仿宋_GB2312" w:hAnsi="??" w:eastAsia="仿宋_GB2312" w:cs="仿宋_GB2312"/>
          <w:color w:val="000000"/>
          <w:sz w:val="28"/>
          <w:szCs w:val="28"/>
        </w:rPr>
        <w:t>老师，办公电话：</w:t>
      </w:r>
      <w:r>
        <w:rPr>
          <w:rFonts w:hint="eastAsia" w:ascii="仿宋_GB2312" w:hAnsi="??" w:eastAsia="仿宋_GB2312" w:cs="仿宋_GB2312"/>
          <w:color w:val="000000"/>
          <w:sz w:val="28"/>
          <w:szCs w:val="28"/>
          <w:lang w:val="en-US" w:eastAsia="zh-CN"/>
        </w:rPr>
        <w:t>0515—68661002</w:t>
      </w: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eastAsia="zh-CN"/>
        </w:rPr>
        <w:t>，对于无故临时放弃投标的投标人，我校将根据情况将投标单位纳入招投标黑名单</w:t>
      </w:r>
      <w:r>
        <w:rPr>
          <w:rFonts w:hint="eastAsia" w:ascii="仿宋_GB2312" w:hAnsi="??" w:eastAsia="仿宋_GB2312" w:cs="仿宋_GB2312"/>
          <w:color w:val="000000"/>
          <w:sz w:val="28"/>
          <w:szCs w:val="28"/>
        </w:rPr>
        <w:t>。对您的支持与配合，谨此致谢。</w:t>
      </w:r>
    </w:p>
    <w:p>
      <w:pPr>
        <w:shd w:val="clear" w:color="auto" w:fill="FFFFFF"/>
        <w:spacing w:line="500" w:lineRule="exact"/>
        <w:ind w:firstLine="562" w:firstLineChars="200"/>
        <w:rPr>
          <w:rFonts w:ascii="黑体" w:hAnsi="黑体" w:eastAsia="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eastAsia="黑体"/>
          <w:sz w:val="4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rPr>
          <w:sz w:val="28"/>
          <w:szCs w:val="28"/>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B8C"/>
    <w:rsid w:val="00022F6B"/>
    <w:rsid w:val="000F3B7D"/>
    <w:rsid w:val="00217A7B"/>
    <w:rsid w:val="00240F23"/>
    <w:rsid w:val="002545C1"/>
    <w:rsid w:val="00303B8C"/>
    <w:rsid w:val="00354794"/>
    <w:rsid w:val="00523913"/>
    <w:rsid w:val="0062342C"/>
    <w:rsid w:val="006C61F6"/>
    <w:rsid w:val="00712CA9"/>
    <w:rsid w:val="007600A8"/>
    <w:rsid w:val="007D7D2C"/>
    <w:rsid w:val="00C553EE"/>
    <w:rsid w:val="00FC2F1E"/>
    <w:rsid w:val="014C5D61"/>
    <w:rsid w:val="0C3F7DF6"/>
    <w:rsid w:val="0EE722B6"/>
    <w:rsid w:val="10381C0A"/>
    <w:rsid w:val="113069AB"/>
    <w:rsid w:val="11930EE6"/>
    <w:rsid w:val="12F536C7"/>
    <w:rsid w:val="13991A96"/>
    <w:rsid w:val="1863476E"/>
    <w:rsid w:val="1AA741AC"/>
    <w:rsid w:val="1BDB14E5"/>
    <w:rsid w:val="1F904F45"/>
    <w:rsid w:val="22782EC8"/>
    <w:rsid w:val="22AB7BFA"/>
    <w:rsid w:val="28EF38F1"/>
    <w:rsid w:val="28F601CD"/>
    <w:rsid w:val="2AA204EC"/>
    <w:rsid w:val="2CE1213E"/>
    <w:rsid w:val="2E0C316B"/>
    <w:rsid w:val="32BD5D97"/>
    <w:rsid w:val="3B8C3103"/>
    <w:rsid w:val="405F3A72"/>
    <w:rsid w:val="44974AA3"/>
    <w:rsid w:val="45470AAC"/>
    <w:rsid w:val="485A6411"/>
    <w:rsid w:val="4BCF649C"/>
    <w:rsid w:val="4BEF30AE"/>
    <w:rsid w:val="5202549E"/>
    <w:rsid w:val="52C65A4C"/>
    <w:rsid w:val="531842C0"/>
    <w:rsid w:val="53BA0805"/>
    <w:rsid w:val="5BA26514"/>
    <w:rsid w:val="626557D7"/>
    <w:rsid w:val="696D79C8"/>
    <w:rsid w:val="72F71FD9"/>
    <w:rsid w:val="73F335DE"/>
    <w:rsid w:val="77CF4187"/>
    <w:rsid w:val="7DE85519"/>
    <w:rsid w:val="7E8906B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1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qFormat/>
    <w:uiPriority w:val="0"/>
    <w:pPr>
      <w:ind w:firstLine="420" w:firstLineChars="100"/>
    </w:pPr>
  </w:style>
  <w:style w:type="paragraph" w:styleId="3">
    <w:name w:val="Body Text"/>
    <w:basedOn w:val="1"/>
    <w:link w:val="14"/>
    <w:unhideWhenUsed/>
    <w:qFormat/>
    <w:uiPriority w:val="99"/>
    <w:pPr>
      <w:spacing w:after="120"/>
    </w:pPr>
    <w:rPr>
      <w:kern w:val="0"/>
      <w:sz w:val="20"/>
      <w:szCs w:val="20"/>
    </w:rPr>
  </w:style>
  <w:style w:type="paragraph" w:styleId="5">
    <w:name w:val="Normal Indent"/>
    <w:basedOn w:val="1"/>
    <w:qFormat/>
    <w:uiPriority w:val="0"/>
    <w:pPr>
      <w:adjustRightInd w:val="0"/>
      <w:spacing w:line="360" w:lineRule="atLeast"/>
      <w:ind w:firstLine="482"/>
      <w:textAlignment w:val="baseline"/>
    </w:pPr>
    <w:rPr>
      <w:kern w:val="0"/>
      <w:sz w:val="24"/>
    </w:rPr>
  </w:style>
  <w:style w:type="paragraph" w:styleId="6">
    <w:name w:val="Body Text Indent"/>
    <w:basedOn w:val="1"/>
    <w:link w:val="12"/>
    <w:qFormat/>
    <w:uiPriority w:val="99"/>
    <w:pPr>
      <w:ind w:left="-105" w:firstLine="232" w:firstLineChars="232"/>
    </w:pPr>
    <w:rPr>
      <w:kern w:val="0"/>
      <w:sz w:val="20"/>
      <w:szCs w:val="20"/>
    </w:rPr>
  </w:style>
  <w:style w:type="paragraph" w:styleId="7">
    <w:name w:val="footer"/>
    <w:basedOn w:val="1"/>
    <w:unhideWhenUsed/>
    <w:uiPriority w:val="99"/>
    <w:pPr>
      <w:tabs>
        <w:tab w:val="center" w:pos="4153"/>
        <w:tab w:val="right" w:pos="8306"/>
      </w:tabs>
      <w:snapToGrid w:val="0"/>
      <w:jc w:val="left"/>
    </w:pPr>
    <w:rPr>
      <w:sz w:val="18"/>
    </w:rPr>
  </w:style>
  <w:style w:type="paragraph" w:styleId="8">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1">
    <w:name w:val="标题 2 Char"/>
    <w:link w:val="4"/>
    <w:uiPriority w:val="0"/>
    <w:rPr>
      <w:rFonts w:ascii="Arial" w:hAnsi="Arial" w:eastAsia="黑体"/>
      <w:b/>
      <w:bCs/>
      <w:sz w:val="32"/>
      <w:szCs w:val="32"/>
    </w:rPr>
  </w:style>
  <w:style w:type="character" w:customStyle="1" w:styleId="12">
    <w:name w:val="正文文本缩进 Char"/>
    <w:link w:val="6"/>
    <w:qFormat/>
    <w:uiPriority w:val="99"/>
    <w:rPr>
      <w:rFonts w:ascii="Calibri" w:hAnsi="Calibri" w:eastAsia="宋体" w:cs="Times New Roman"/>
      <w:kern w:val="0"/>
      <w:sz w:val="20"/>
      <w:szCs w:val="20"/>
    </w:rPr>
  </w:style>
  <w:style w:type="character" w:customStyle="1" w:styleId="13">
    <w:name w:val="正文首行缩进 Char"/>
    <w:basedOn w:val="14"/>
    <w:link w:val="2"/>
    <w:qFormat/>
    <w:uiPriority w:val="0"/>
    <w:rPr>
      <w:rFonts w:ascii="Calibri" w:hAnsi="Calibri" w:eastAsia="宋体" w:cs="Times New Roman"/>
    </w:rPr>
  </w:style>
  <w:style w:type="character" w:customStyle="1" w:styleId="14">
    <w:name w:val="正文文本 Char"/>
    <w:link w:val="3"/>
    <w:semiHidden/>
    <w:uiPriority w:val="99"/>
    <w:rPr>
      <w:rFonts w:ascii="Calibri" w:hAnsi="Calibri" w:eastAsia="宋体" w:cs="Times New Roman"/>
    </w:rPr>
  </w:style>
  <w:style w:type="paragraph" w:customStyle="1" w:styleId="15">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1156</Words>
  <Characters>6595</Characters>
  <Lines>54</Lines>
  <Paragraphs>15</Paragraphs>
  <TotalTime>28</TotalTime>
  <ScaleCrop>false</ScaleCrop>
  <LinksUpToDate>false</LinksUpToDate>
  <CharactersWithSpaces>7736</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2019-03-06T02:53:00Z</dcterms:created>
  <dc:creator>Administrator</dc:creator>
  <cp:lastModifiedBy>yy</cp:lastModifiedBy>
  <cp:lastPrinted>2019-03-18T07:31:00Z</cp:lastPrinted>
  <dcterms:modified xsi:type="dcterms:W3CDTF">2019-03-21T03:38:25Z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