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hint="eastAsia" w:eastAsia="宋体"/>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eastAsia="zh-CN"/>
        </w:rPr>
        <w:t>公告</w:t>
      </w: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spacing w:line="660" w:lineRule="exact"/>
        <w:rPr>
          <w:rFonts w:hint="default" w:ascii="宋体" w:eastAsia="楷体_GB2312"/>
          <w:b/>
          <w:bCs/>
          <w:color w:val="000000"/>
          <w:sz w:val="36"/>
          <w:szCs w:val="36"/>
          <w:lang w:val="en-US" w:eastAsia="zh-CN"/>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院总编：2019-</w:t>
      </w:r>
      <w:r>
        <w:rPr>
          <w:rFonts w:hint="eastAsia" w:ascii="楷体_GB2312" w:hAnsi="楷体_GB2312" w:eastAsia="楷体_GB2312" w:cs="楷体_GB2312"/>
          <w:b/>
          <w:bCs/>
          <w:color w:val="000000"/>
          <w:sz w:val="36"/>
          <w:szCs w:val="36"/>
          <w:u w:val="single"/>
          <w:lang w:val="en-US" w:eastAsia="zh-CN"/>
        </w:rPr>
        <w:t>37#</w:t>
      </w:r>
    </w:p>
    <w:p>
      <w:pPr>
        <w:spacing w:line="660" w:lineRule="exact"/>
        <w:ind w:left="1807" w:hanging="1807" w:hangingChars="500"/>
        <w:rPr>
          <w:rFonts w:ascii="楷体_GB2312" w:hAnsi="楷体_GB2312" w:eastAsia="楷体_GB2312" w:cs="楷体_GB2312"/>
          <w:b/>
          <w:bCs/>
          <w:color w:val="000000"/>
          <w:sz w:val="36"/>
          <w:szCs w:val="36"/>
          <w:u w:val="single"/>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rPr>
        <w:t>其他出版社教材</w:t>
      </w:r>
      <w:r>
        <w:rPr>
          <w:rFonts w:hint="eastAsia" w:ascii="楷体_GB2312" w:hAnsi="楷体_GB2312" w:eastAsia="楷体_GB2312" w:cs="楷体_GB2312"/>
          <w:b/>
          <w:bCs/>
          <w:color w:val="000000"/>
          <w:sz w:val="36"/>
          <w:szCs w:val="36"/>
          <w:u w:val="single"/>
          <w:lang w:eastAsia="zh-CN"/>
        </w:rPr>
        <w:t>（</w:t>
      </w:r>
      <w:r>
        <w:rPr>
          <w:rFonts w:hint="eastAsia" w:ascii="楷体_GB2312" w:hAnsi="楷体_GB2312" w:eastAsia="楷体_GB2312" w:cs="楷体_GB2312"/>
          <w:b/>
          <w:bCs/>
          <w:color w:val="000000"/>
          <w:sz w:val="36"/>
          <w:szCs w:val="36"/>
          <w:u w:val="single"/>
        </w:rPr>
        <w:t>除劳动版教材和高职教材</w:t>
      </w:r>
      <w:r>
        <w:rPr>
          <w:rFonts w:hint="eastAsia" w:ascii="楷体_GB2312" w:hAnsi="楷体_GB2312" w:eastAsia="楷体_GB2312" w:cs="楷体_GB2312"/>
          <w:b/>
          <w:bCs/>
          <w:color w:val="000000"/>
          <w:sz w:val="36"/>
          <w:szCs w:val="36"/>
          <w:u w:val="single"/>
          <w:lang w:eastAsia="zh-CN"/>
        </w:rPr>
        <w:t>）</w:t>
      </w:r>
      <w:r>
        <w:rPr>
          <w:rFonts w:hint="eastAsia" w:ascii="楷体_GB2312" w:hAnsi="楷体_GB2312" w:eastAsia="楷体_GB2312" w:cs="楷体_GB2312"/>
          <w:b/>
          <w:bCs/>
          <w:color w:val="000000"/>
          <w:sz w:val="36"/>
          <w:szCs w:val="36"/>
          <w:u w:val="single"/>
          <w:lang w:val="zh-TW"/>
        </w:rPr>
        <w:t>招标</w:t>
      </w:r>
    </w:p>
    <w:p>
      <w:pPr>
        <w:spacing w:line="660" w:lineRule="exact"/>
        <w:rPr>
          <w:rFonts w:ascii="宋体" w:cs="宋体"/>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黑体" w:eastAsia="黑体" w:cs="黑体"/>
          <w:color w:val="000000"/>
          <w:sz w:val="44"/>
          <w:szCs w:val="44"/>
        </w:rPr>
      </w:pPr>
      <w:r>
        <w:rPr>
          <w:rFonts w:ascii="黑体" w:eastAsia="黑体" w:cs="黑体"/>
          <w:color w:val="000000"/>
          <w:sz w:val="44"/>
          <w:szCs w:val="44"/>
        </w:rPr>
        <w:t>201</w:t>
      </w:r>
      <w:r>
        <w:rPr>
          <w:rFonts w:hint="eastAsia" w:ascii="黑体" w:eastAsia="黑体" w:cs="黑体"/>
          <w:color w:val="000000"/>
          <w:sz w:val="44"/>
          <w:szCs w:val="44"/>
        </w:rPr>
        <w:t>9年</w:t>
      </w:r>
      <w:r>
        <w:rPr>
          <w:rFonts w:hint="eastAsia" w:ascii="黑体" w:eastAsia="黑体" w:cs="黑体"/>
          <w:color w:val="000000"/>
          <w:sz w:val="44"/>
          <w:szCs w:val="44"/>
          <w:lang w:val="en-US" w:eastAsia="zh-CN"/>
        </w:rPr>
        <w:t>7</w:t>
      </w:r>
      <w:r>
        <w:rPr>
          <w:rFonts w:hint="eastAsia" w:ascii="黑体" w:eastAsia="黑体" w:cs="黑体"/>
          <w:color w:val="000000"/>
          <w:sz w:val="44"/>
          <w:szCs w:val="44"/>
        </w:rPr>
        <w:t>月</w:t>
      </w:r>
    </w:p>
    <w:p>
      <w:pPr>
        <w:jc w:val="center"/>
        <w:rPr>
          <w:rFonts w:ascii="黑体" w:eastAsia="黑体" w:cs="黑体"/>
          <w:color w:val="000000"/>
          <w:sz w:val="44"/>
          <w:szCs w:val="44"/>
        </w:rPr>
      </w:pPr>
    </w:p>
    <w:p>
      <w:pPr>
        <w:jc w:val="center"/>
        <w:rPr>
          <w:rFonts w:ascii="黑体" w:eastAsia="黑体" w:cs="黑体"/>
          <w:color w:val="000000"/>
          <w:sz w:val="44"/>
          <w:szCs w:val="44"/>
        </w:rPr>
      </w:pPr>
    </w:p>
    <w:p>
      <w:pPr>
        <w:pStyle w:val="2"/>
        <w:ind w:firstLine="210"/>
      </w:pPr>
    </w:p>
    <w:p>
      <w:pPr>
        <w:spacing w:line="700" w:lineRule="exact"/>
        <w:jc w:val="center"/>
        <w:rPr>
          <w:b/>
          <w:bCs/>
          <w:sz w:val="44"/>
        </w:rPr>
      </w:pPr>
      <w:r>
        <w:rPr>
          <w:rFonts w:hint="eastAsia"/>
          <w:b/>
          <w:bCs/>
          <w:sz w:val="44"/>
        </w:rPr>
        <w:t>提      示</w:t>
      </w:r>
    </w:p>
    <w:p>
      <w:pPr>
        <w:spacing w:line="700" w:lineRule="exact"/>
        <w:jc w:val="center"/>
        <w:rPr>
          <w:rFonts w:ascii="仿宋_GB2312" w:eastAsia="仿宋_GB2312"/>
          <w:sz w:val="32"/>
          <w:szCs w:val="32"/>
        </w:rPr>
      </w:pPr>
    </w:p>
    <w:p>
      <w:pPr>
        <w:snapToGrid w:val="0"/>
        <w:spacing w:line="560" w:lineRule="exact"/>
        <w:ind w:firstLine="420" w:firstLineChars="15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联系人：杨老师0515—68661002</w:t>
      </w:r>
    </w:p>
    <w:p>
      <w:pPr>
        <w:pStyle w:val="6"/>
        <w:spacing w:line="600" w:lineRule="exact"/>
        <w:ind w:firstLine="742"/>
        <w:rPr>
          <w:rFonts w:ascii="仿宋_GB2312"/>
          <w:color w:val="000000" w:themeColor="text1"/>
          <w:szCs w:val="32"/>
        </w:rPr>
      </w:pPr>
    </w:p>
    <w:p>
      <w:pPr>
        <w:pStyle w:val="6"/>
        <w:spacing w:line="600" w:lineRule="exact"/>
        <w:ind w:firstLine="742"/>
        <w:rPr>
          <w:rFonts w:ascii="仿宋_GB2312"/>
          <w:color w:val="000000" w:themeColor="text1"/>
          <w:szCs w:val="32"/>
        </w:rPr>
      </w:pPr>
    </w:p>
    <w:p>
      <w:pPr>
        <w:pStyle w:val="6"/>
        <w:spacing w:line="600" w:lineRule="exact"/>
        <w:ind w:firstLine="742"/>
        <w:rPr>
          <w:rFonts w:ascii="仿宋_GB2312"/>
          <w:color w:val="000000" w:themeColor="text1"/>
          <w:szCs w:val="32"/>
        </w:rPr>
      </w:pPr>
    </w:p>
    <w:p>
      <w:pPr>
        <w:pStyle w:val="6"/>
        <w:spacing w:line="600" w:lineRule="exact"/>
        <w:ind w:firstLine="742"/>
        <w:rPr>
          <w:rFonts w:ascii="仿宋_GB2312"/>
          <w:color w:val="000000" w:themeColor="text1"/>
          <w:szCs w:val="32"/>
        </w:rPr>
      </w:pPr>
    </w:p>
    <w:p>
      <w:pPr>
        <w:pStyle w:val="6"/>
        <w:spacing w:line="600" w:lineRule="exact"/>
        <w:ind w:firstLine="742"/>
        <w:rPr>
          <w:rFonts w:ascii="仿宋_GB2312"/>
          <w:color w:val="000000" w:themeColor="text1"/>
          <w:szCs w:val="32"/>
        </w:rPr>
      </w:pPr>
    </w:p>
    <w:p>
      <w:pPr>
        <w:tabs>
          <w:tab w:val="left" w:pos="2600"/>
        </w:tabs>
        <w:spacing w:beforeLines="50" w:afterLines="50"/>
        <w:jc w:val="both"/>
        <w:rPr>
          <w:rFonts w:eastAsia="黑体"/>
          <w:sz w:val="44"/>
        </w:rPr>
      </w:pPr>
    </w:p>
    <w:p>
      <w:pPr>
        <w:tabs>
          <w:tab w:val="left" w:pos="2600"/>
        </w:tabs>
        <w:spacing w:beforeLines="50" w:afterLines="50"/>
        <w:jc w:val="center"/>
        <w:rPr>
          <w:rFonts w:hint="eastAsia" w:eastAsia="黑体"/>
          <w:sz w:val="44"/>
        </w:rPr>
        <w:sectPr>
          <w:pgSz w:w="11906" w:h="16838"/>
          <w:pgMar w:top="1440" w:right="1800" w:bottom="1440" w:left="1800" w:header="851" w:footer="992" w:gutter="0"/>
          <w:cols w:space="425" w:num="1"/>
          <w:docGrid w:type="lines" w:linePitch="312" w:charSpace="0"/>
        </w:sectPr>
      </w:pPr>
    </w:p>
    <w:p>
      <w:pPr>
        <w:tabs>
          <w:tab w:val="left" w:pos="2600"/>
        </w:tabs>
        <w:spacing w:beforeLines="50" w:afterLines="50"/>
        <w:jc w:val="center"/>
        <w:rPr>
          <w:rFonts w:ascii="仿宋" w:eastAsia="仿宋"/>
          <w:sz w:val="44"/>
        </w:rPr>
      </w:pPr>
      <w:r>
        <w:rPr>
          <w:rFonts w:hint="eastAsia" w:eastAsia="黑体"/>
          <w:sz w:val="44"/>
        </w:rPr>
        <w:t>第一部分  招标公告</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根据《中华人民共和国政府采购法》等法律、法规的规定，现就</w:t>
      </w:r>
      <w:r>
        <w:rPr>
          <w:rFonts w:hint="eastAsia" w:ascii="仿宋_GB2312" w:hAnsi="仿宋_GB2312" w:eastAsia="仿宋_GB2312" w:cs="仿宋_GB2312"/>
          <w:bCs/>
          <w:sz w:val="28"/>
          <w:szCs w:val="28"/>
          <w:u w:val="single"/>
        </w:rPr>
        <w:t>其他出版社教材（除劳动版教材和高职教材）</w:t>
      </w:r>
      <w:r>
        <w:rPr>
          <w:rFonts w:hint="eastAsia" w:ascii="仿宋_GB2312" w:hAnsi="仿宋_GB2312" w:eastAsia="仿宋_GB2312" w:cs="仿宋_GB2312"/>
          <w:bCs/>
          <w:sz w:val="28"/>
          <w:szCs w:val="28"/>
          <w:u w:val="single"/>
          <w:lang w:val="zh-TW"/>
        </w:rPr>
        <w:t>招标项目</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采购，欢迎合格的潜在投标人参加投标。</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一、招标项目</w:t>
      </w:r>
    </w:p>
    <w:p>
      <w:pPr>
        <w:tabs>
          <w:tab w:val="left" w:pos="2600"/>
        </w:tabs>
        <w:spacing w:beforeLines="50" w:afterLines="5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货物技术参数要求</w:t>
      </w:r>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7"/>
        <w:gridCol w:w="2195"/>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27" w:type="dxa"/>
          </w:tcPr>
          <w:p>
            <w:pPr>
              <w:spacing w:line="560" w:lineRule="exact"/>
              <w:jc w:val="center"/>
              <w:rPr>
                <w:rFonts w:ascii="黑体" w:hAnsi="黑体" w:eastAsia="黑体" w:cs="黑体"/>
                <w:b/>
                <w:bCs/>
                <w:sz w:val="28"/>
                <w:szCs w:val="28"/>
              </w:rPr>
            </w:pPr>
            <w:r>
              <w:rPr>
                <w:rFonts w:hint="eastAsia" w:ascii="黑体" w:hAnsi="黑体" w:eastAsia="黑体" w:cs="黑体"/>
                <w:b/>
                <w:bCs/>
                <w:sz w:val="28"/>
                <w:szCs w:val="28"/>
              </w:rPr>
              <w:t>项目</w:t>
            </w:r>
          </w:p>
        </w:tc>
        <w:tc>
          <w:tcPr>
            <w:tcW w:w="2195" w:type="dxa"/>
          </w:tcPr>
          <w:p>
            <w:pPr>
              <w:spacing w:line="560" w:lineRule="exact"/>
              <w:jc w:val="center"/>
              <w:rPr>
                <w:rFonts w:ascii="黑体" w:hAnsi="黑体" w:eastAsia="黑体" w:cs="黑体"/>
                <w:b/>
                <w:bCs/>
                <w:sz w:val="28"/>
                <w:szCs w:val="28"/>
              </w:rPr>
            </w:pPr>
            <w:r>
              <w:rPr>
                <w:rFonts w:hint="eastAsia" w:ascii="黑体" w:hAnsi="黑体" w:eastAsia="黑体" w:cs="黑体"/>
                <w:b/>
                <w:bCs/>
                <w:sz w:val="28"/>
                <w:szCs w:val="28"/>
              </w:rPr>
              <w:t>投标折扣</w:t>
            </w:r>
          </w:p>
        </w:tc>
        <w:tc>
          <w:tcPr>
            <w:tcW w:w="3600" w:type="dxa"/>
          </w:tcPr>
          <w:p>
            <w:pPr>
              <w:spacing w:line="560" w:lineRule="exact"/>
              <w:jc w:val="center"/>
              <w:rPr>
                <w:rFonts w:ascii="黑体" w:hAnsi="黑体" w:eastAsia="黑体" w:cs="黑体"/>
                <w:b/>
                <w:bCs/>
                <w:sz w:val="28"/>
                <w:szCs w:val="28"/>
              </w:rPr>
            </w:pPr>
            <w:r>
              <w:rPr>
                <w:rFonts w:hint="eastAsia" w:ascii="黑体" w:hAnsi="黑体" w:eastAsia="黑体" w:cs="黑体"/>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27" w:type="dxa"/>
            <w:vAlign w:val="center"/>
          </w:tcPr>
          <w:p>
            <w:pPr>
              <w:spacing w:line="560" w:lineRule="exact"/>
              <w:jc w:val="center"/>
              <w:rPr>
                <w:rFonts w:ascii="黑体" w:hAnsi="黑体" w:eastAsia="黑体" w:cs="黑体"/>
                <w:b/>
                <w:bCs/>
                <w:sz w:val="28"/>
                <w:szCs w:val="28"/>
              </w:rPr>
            </w:pPr>
            <w:r>
              <w:rPr>
                <w:rFonts w:hint="eastAsia" w:ascii="仿宋_GB2312" w:hAnsi="仿宋_GB2312" w:eastAsia="仿宋_GB2312" w:cs="仿宋_GB2312"/>
                <w:kern w:val="0"/>
                <w:sz w:val="28"/>
                <w:szCs w:val="28"/>
              </w:rPr>
              <w:t>（除劳动版教材和高职教材）其他出版社教材用书</w:t>
            </w:r>
          </w:p>
        </w:tc>
        <w:tc>
          <w:tcPr>
            <w:tcW w:w="2195" w:type="dxa"/>
            <w:vAlign w:val="center"/>
          </w:tcPr>
          <w:p>
            <w:pPr>
              <w:spacing w:line="560" w:lineRule="exact"/>
              <w:rPr>
                <w:rFonts w:ascii="仿宋_GB2312" w:hAnsi="仿宋_GB2312" w:eastAsia="仿宋_GB2312" w:cs="仿宋_GB2312"/>
                <w:kern w:val="0"/>
                <w:sz w:val="28"/>
                <w:szCs w:val="28"/>
              </w:rPr>
            </w:pPr>
          </w:p>
          <w:p>
            <w:pPr>
              <w:spacing w:line="560" w:lineRule="exact"/>
              <w:rPr>
                <w:rFonts w:ascii="黑体" w:hAnsi="黑体" w:eastAsia="仿宋_GB2312" w:cs="黑体"/>
                <w:b/>
                <w:bCs/>
                <w:sz w:val="28"/>
                <w:szCs w:val="28"/>
              </w:rPr>
            </w:pPr>
            <w:r>
              <w:rPr>
                <w:rFonts w:hint="eastAsia" w:ascii="仿宋_GB2312" w:hAnsi="仿宋_GB2312" w:eastAsia="仿宋_GB2312" w:cs="仿宋_GB2312"/>
                <w:kern w:val="0"/>
                <w:sz w:val="28"/>
                <w:szCs w:val="28"/>
              </w:rPr>
              <w:t>大写：</w:t>
            </w:r>
            <w:r>
              <w:rPr>
                <w:rFonts w:hint="eastAsia" w:ascii="仿宋_GB2312" w:hAnsi="仿宋_GB2312" w:eastAsia="仿宋_GB2312" w:cs="仿宋_GB2312"/>
                <w:kern w:val="0"/>
                <w:sz w:val="28"/>
                <w:szCs w:val="28"/>
                <w:u w:val="single"/>
                <w:lang w:val="en-US" w:eastAsia="zh-CN"/>
              </w:rPr>
              <w:t xml:space="preserve">      </w:t>
            </w:r>
            <w:r>
              <w:rPr>
                <w:rFonts w:hint="eastAsia" w:ascii="黑体" w:hAnsi="黑体" w:eastAsia="黑体" w:cs="黑体"/>
                <w:b/>
                <w:bCs/>
                <w:sz w:val="28"/>
                <w:szCs w:val="28"/>
              </w:rPr>
              <w:t>折</w:t>
            </w:r>
          </w:p>
          <w:p>
            <w:pPr>
              <w:spacing w:line="560" w:lineRule="exact"/>
              <w:rPr>
                <w:rFonts w:ascii="黑体" w:hAnsi="黑体" w:eastAsia="黑体" w:cs="黑体"/>
                <w:b/>
                <w:bCs/>
                <w:sz w:val="28"/>
                <w:szCs w:val="28"/>
              </w:rPr>
            </w:pPr>
          </w:p>
        </w:tc>
        <w:tc>
          <w:tcPr>
            <w:tcW w:w="3600" w:type="dxa"/>
            <w:vAlign w:val="center"/>
          </w:tcPr>
          <w:p>
            <w:pPr>
              <w:spacing w:line="560" w:lineRule="exact"/>
              <w:jc w:val="left"/>
              <w:rPr>
                <w:rFonts w:ascii="黑体" w:hAnsi="黑体" w:eastAsia="仿宋_GB2312" w:cs="黑体"/>
                <w:b/>
                <w:bCs/>
                <w:sz w:val="28"/>
                <w:szCs w:val="28"/>
              </w:rPr>
            </w:pPr>
            <w:r>
              <w:rPr>
                <w:rFonts w:hint="eastAsia" w:ascii="仿宋_GB2312" w:hAnsi="仿宋_GB2312" w:eastAsia="仿宋_GB2312" w:cs="仿宋_GB2312"/>
                <w:kern w:val="0"/>
                <w:sz w:val="28"/>
                <w:szCs w:val="28"/>
              </w:rPr>
              <w:t>参加投标的供书价(指含税价)的折扣必须在七五折（含七五折）以下，大于七五折的为废标。</w:t>
            </w:r>
          </w:p>
        </w:tc>
      </w:tr>
    </w:tbl>
    <w:p>
      <w:pPr>
        <w:snapToGrid w:val="0"/>
        <w:spacing w:line="560" w:lineRule="exact"/>
        <w:ind w:firstLine="562" w:firstLineChars="20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备注：</w:t>
      </w:r>
    </w:p>
    <w:p>
      <w:pPr>
        <w:snapToGrid w:val="0"/>
        <w:spacing w:line="560" w:lineRule="exact"/>
        <w:ind w:firstLine="562" w:firstLineChars="20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1、投标人要严格按照我校订单配备教材，且必须为国家正式出版物，无出版权纠纷，无印刷和装订方面的问题,对我校所订购的教材，要及时免费运送到我校指定的书库。每捆书上要标明书名、出版社及册数、二级学院名称，以便教材员分书。并随时提供我校急需的教材。</w:t>
      </w:r>
    </w:p>
    <w:p>
      <w:pPr>
        <w:snapToGrid w:val="0"/>
        <w:spacing w:line="560" w:lineRule="exact"/>
        <w:ind w:firstLine="562" w:firstLineChars="20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2、教材集中发放阶段，投标人应派遣适当人员协助教材发放。</w:t>
      </w:r>
    </w:p>
    <w:p>
      <w:pPr>
        <w:snapToGrid w:val="0"/>
        <w:spacing w:line="560" w:lineRule="exact"/>
        <w:ind w:firstLine="562" w:firstLineChars="20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3、投标人需提供每学期的教材征订目录。</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1.在中华人民共和国境内注册，符合《中华人民共和国政府招标法》第二十二条之规定。</w:t>
      </w:r>
    </w:p>
    <w:p>
      <w:pPr>
        <w:snapToGrid w:val="0"/>
        <w:spacing w:line="560" w:lineRule="exact"/>
        <w:ind w:firstLine="560" w:firstLineChars="200"/>
        <w:rPr>
          <w:rFonts w:ascii="仿宋_GB2312" w:eastAsia="仿宋_GB2312" w:cs="仿宋_GB2312"/>
          <w:b/>
          <w:bCs/>
          <w:color w:val="000000"/>
          <w:sz w:val="28"/>
          <w:szCs w:val="28"/>
        </w:rPr>
      </w:pPr>
      <w:r>
        <w:rPr>
          <w:rFonts w:hint="eastAsia" w:ascii="仿宋_GB2312" w:eastAsia="仿宋_GB2312" w:cs="仿宋_GB2312"/>
          <w:color w:val="000000"/>
          <w:sz w:val="28"/>
          <w:szCs w:val="28"/>
        </w:rPr>
        <w:t>2.投标人必须是独立法人,具有三证合一营业执照，具有国家出版物经营资质，具有固定的经营场所，有一定数量的专业技术人员，具备相关项目的供货能力和售后服务能力，具有良好的商业信誉和财务状况。</w:t>
      </w:r>
    </w:p>
    <w:p>
      <w:pPr>
        <w:snapToGrid w:val="0"/>
        <w:spacing w:line="560" w:lineRule="exact"/>
        <w:ind w:firstLine="560" w:firstLineChars="200"/>
        <w:rPr>
          <w:rFonts w:hint="eastAsia" w:ascii="仿宋_GB2312" w:eastAsia="仿宋_GB2312" w:cs="仿宋_GB2312"/>
          <w:b/>
          <w:bCs/>
          <w:color w:val="000000"/>
          <w:sz w:val="28"/>
          <w:szCs w:val="28"/>
          <w:u w:val="single"/>
        </w:rPr>
      </w:pPr>
      <w:r>
        <w:rPr>
          <w:rFonts w:hint="eastAsia" w:ascii="仿宋_GB2312" w:eastAsia="仿宋_GB2312" w:cs="仿宋_GB2312"/>
          <w:color w:val="000000"/>
          <w:sz w:val="28"/>
          <w:szCs w:val="28"/>
        </w:rPr>
        <w:t>3.投标人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32"/>
          <w:szCs w:val="32"/>
        </w:rPr>
        <w:t>（原件备查）</w:t>
      </w:r>
      <w:r>
        <w:rPr>
          <w:rFonts w:hint="eastAsia" w:ascii="仿宋_GB2312" w:eastAsia="仿宋_GB2312" w:cs="仿宋_GB2312"/>
          <w:b/>
          <w:bCs/>
          <w:color w:val="000000"/>
          <w:sz w:val="28"/>
          <w:szCs w:val="28"/>
          <w:u w:val="single"/>
        </w:rPr>
        <w:t>营业执照</w:t>
      </w:r>
      <w:r>
        <w:rPr>
          <w:rFonts w:hint="eastAsia" w:ascii="仿宋_GB2312" w:eastAsia="仿宋_GB2312" w:cs="仿宋_GB2312"/>
          <w:b/>
          <w:bCs/>
          <w:color w:val="000000"/>
          <w:sz w:val="28"/>
          <w:szCs w:val="28"/>
          <w:u w:val="single"/>
          <w:lang w:eastAsia="zh-CN"/>
        </w:rPr>
        <w:t>（复印件盖公章）</w:t>
      </w:r>
      <w:r>
        <w:rPr>
          <w:rFonts w:hint="eastAsia" w:ascii="仿宋_GB2312" w:eastAsia="仿宋_GB2312" w:cs="仿宋_GB2312"/>
          <w:b/>
          <w:bCs/>
          <w:color w:val="000000"/>
          <w:sz w:val="28"/>
          <w:szCs w:val="28"/>
          <w:u w:val="single"/>
        </w:rPr>
        <w:t>、国家出版物经营资质</w:t>
      </w:r>
      <w:r>
        <w:rPr>
          <w:rFonts w:hint="eastAsia" w:ascii="仿宋_GB2312" w:eastAsia="仿宋_GB2312" w:cs="仿宋_GB2312"/>
          <w:b/>
          <w:bCs/>
          <w:color w:val="000000"/>
          <w:sz w:val="28"/>
          <w:szCs w:val="28"/>
          <w:u w:val="single"/>
          <w:lang w:eastAsia="zh-CN"/>
        </w:rPr>
        <w:t>（复印件盖公章）</w:t>
      </w:r>
      <w:r>
        <w:rPr>
          <w:rFonts w:hint="eastAsia" w:ascii="仿宋_GB2312" w:eastAsia="仿宋_GB2312" w:cs="仿宋_GB2312"/>
          <w:b/>
          <w:bCs/>
          <w:color w:val="000000"/>
          <w:sz w:val="28"/>
          <w:szCs w:val="28"/>
          <w:u w:val="single"/>
        </w:rPr>
        <w:t>、法定代表人（盖章）的授权委托书、法定代表人身份证复印件（盖单位公章）、法定代表人身份证原件（委托的就携带法定代表人授权的委托人的身份证原件，复印件盖单位公章）</w:t>
      </w:r>
    </w:p>
    <w:p>
      <w:pPr>
        <w:snapToGrid w:val="0"/>
        <w:spacing w:line="560" w:lineRule="exact"/>
        <w:ind w:firstLine="560" w:firstLineChars="200"/>
        <w:rPr>
          <w:rFonts w:ascii="仿宋_GB2312" w:eastAsia="仿宋_GB2312" w:cs="仿宋_GB2312"/>
          <w:b/>
          <w:bCs/>
          <w:color w:val="000000"/>
          <w:sz w:val="28"/>
          <w:szCs w:val="28"/>
          <w:u w:val="single"/>
        </w:rPr>
      </w:pPr>
      <w:r>
        <w:rPr>
          <w:rFonts w:hint="eastAsia" w:ascii="仿宋_GB2312" w:eastAsia="仿宋_GB2312" w:cs="仿宋_GB2312"/>
          <w:color w:val="000000"/>
          <w:sz w:val="28"/>
          <w:szCs w:val="28"/>
        </w:rPr>
        <w:t>4.投标人开标时须携带近二年经营业绩证明（以合同原件为准）。</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5.投标人具有多年教材供应经验。并具有教材征订、储运、调剂、退换及结算能力。</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6.投标人未处于投标资格被取消或者财产被接管、冻结和破产状态；没有因骗取中标或严重违约以及发生重大质量、安全生产事故等问题被有关部门暂停投标资格并在暂停期内的。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ascii="仿宋_GB2312" w:eastAsia="仿宋_GB2312" w:cs="仿宋_GB2312"/>
          <w:b/>
          <w:color w:val="000000"/>
          <w:sz w:val="28"/>
          <w:szCs w:val="28"/>
        </w:rPr>
      </w:pPr>
      <w:r>
        <w:rPr>
          <w:rFonts w:hint="eastAsia" w:ascii="仿宋_GB2312" w:eastAsia="仿宋_GB2312" w:cs="仿宋_GB2312"/>
          <w:color w:val="000000"/>
          <w:sz w:val="28"/>
          <w:szCs w:val="28"/>
        </w:rPr>
        <w:t>7.本次招标不接受联合体投标。</w:t>
      </w:r>
    </w:p>
    <w:p>
      <w:pPr>
        <w:spacing w:line="560" w:lineRule="exact"/>
        <w:ind w:firstLine="562" w:firstLineChars="200"/>
        <w:rPr>
          <w:rFonts w:ascii="仿宋_GB2312" w:hAnsi="仿宋_GB2312" w:eastAsia="仿宋_GB2312" w:cs="仿宋_GB2312"/>
          <w:kern w:val="0"/>
          <w:sz w:val="28"/>
          <w:szCs w:val="28"/>
        </w:rPr>
      </w:pPr>
      <w:r>
        <w:rPr>
          <w:rFonts w:hint="eastAsia" w:ascii="黑体" w:hAnsi="黑体" w:eastAsia="黑体" w:cs="黑体"/>
          <w:b/>
          <w:bCs/>
          <w:sz w:val="28"/>
          <w:szCs w:val="28"/>
        </w:rPr>
        <w:t>三、招标内容及要求</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1．招标内容</w:t>
      </w:r>
      <w:r>
        <w:rPr>
          <w:rFonts w:hint="eastAsia" w:ascii="仿宋_GB2312" w:eastAsia="仿宋_GB2312" w:cs="仿宋_GB2312"/>
          <w:color w:val="000000"/>
          <w:sz w:val="28"/>
          <w:szCs w:val="28"/>
        </w:rPr>
        <w:t>：</w:t>
      </w:r>
      <w:r>
        <w:rPr>
          <w:rFonts w:hint="eastAsia" w:ascii="仿宋_GB2312" w:hAnsi="仿宋_GB2312" w:eastAsia="仿宋_GB2312" w:cs="仿宋_GB2312"/>
          <w:kern w:val="0"/>
          <w:sz w:val="28"/>
          <w:szCs w:val="28"/>
        </w:rPr>
        <w:t>其他出版社教材（除劳动版教材和高职教材）。</w:t>
      </w:r>
    </w:p>
    <w:p>
      <w:pPr>
        <w:spacing w:line="560" w:lineRule="exact"/>
        <w:ind w:firstLine="560" w:firstLineChars="200"/>
        <w:rPr>
          <w:rFonts w:ascii="仿宋_GB2312" w:hAnsi="仿宋_GB2312" w:eastAsia="仿宋" w:cs="仿宋_GB2312"/>
          <w:kern w:val="0"/>
          <w:sz w:val="28"/>
          <w:szCs w:val="28"/>
        </w:rPr>
      </w:pPr>
      <w:r>
        <w:rPr>
          <w:rFonts w:hint="eastAsia" w:ascii="仿宋_GB2312" w:hAnsi="仿宋_GB2312" w:eastAsia="仿宋_GB2312" w:cs="仿宋_GB2312"/>
          <w:kern w:val="0"/>
          <w:sz w:val="28"/>
          <w:szCs w:val="28"/>
        </w:rPr>
        <w:t>2．供货期限：</w:t>
      </w:r>
      <w:r>
        <w:rPr>
          <w:rFonts w:hint="eastAsia" w:ascii="仿宋_GB2312" w:hAnsi="仿宋_GB2312" w:eastAsia="仿宋_GB2312" w:cs="仿宋_GB2312"/>
          <w:kern w:val="0"/>
          <w:sz w:val="28"/>
          <w:szCs w:val="28"/>
          <w:lang w:eastAsia="zh-CN"/>
        </w:rPr>
        <w:t>供货期限为</w:t>
      </w:r>
      <w:r>
        <w:rPr>
          <w:rFonts w:hint="eastAsia" w:ascii="仿宋_GB2312" w:hAnsi="仿宋_GB2312" w:eastAsia="仿宋_GB2312" w:cs="仿宋_GB2312"/>
          <w:kern w:val="0"/>
          <w:sz w:val="28"/>
          <w:szCs w:val="28"/>
          <w:lang w:val="en-US" w:eastAsia="zh-CN"/>
        </w:rPr>
        <w:t>2019—2022学年度（合同按学年度签订，一个学年度签订一次，根据考核情况续签下一学年度合同），2019—2020学年度教材需在2019</w:t>
      </w:r>
      <w:r>
        <w:rPr>
          <w:rFonts w:hint="eastAsia" w:ascii="仿宋_GB2312" w:hAnsi="仿宋_GB2312" w:eastAsia="仿宋_GB2312" w:cs="仿宋_GB2312"/>
          <w:kern w:val="0"/>
          <w:sz w:val="28"/>
          <w:szCs w:val="28"/>
        </w:rPr>
        <w:t>年8月28日前按二级学院分类送到我校指定书库。</w:t>
      </w:r>
    </w:p>
    <w:p>
      <w:pPr>
        <w:spacing w:line="560" w:lineRule="exact"/>
        <w:ind w:firstLine="560" w:firstLineChars="200"/>
        <w:rPr>
          <w:rFonts w:ascii="仿宋_GB2312" w:hAnsi="仿宋_GB2312" w:eastAsia="仿宋_GB2312" w:cs="仿宋_GB2312"/>
          <w:b/>
          <w:kern w:val="0"/>
          <w:sz w:val="28"/>
          <w:szCs w:val="28"/>
          <w:u w:val="single"/>
        </w:rPr>
      </w:pPr>
      <w:r>
        <w:rPr>
          <w:rFonts w:hint="eastAsia" w:ascii="仿宋_GB2312" w:hAnsi="仿宋_GB2312" w:eastAsia="仿宋_GB2312" w:cs="仿宋_GB2312"/>
          <w:kern w:val="0"/>
          <w:sz w:val="28"/>
          <w:szCs w:val="28"/>
        </w:rPr>
        <w:t>3．招标范围：所需货物的采购、包装、运输、售后服务等。</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4．质量标准：合格，按国家质量认证体系标准。</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themeColor="text1"/>
          <w:sz w:val="28"/>
          <w:szCs w:val="28"/>
        </w:rPr>
        <w:t>1.本项目投标保证金为</w:t>
      </w:r>
      <w:r>
        <w:rPr>
          <w:rFonts w:hint="eastAsia" w:ascii="仿宋_GB2312" w:hAnsi="仿宋_GB2312" w:eastAsia="仿宋_GB2312" w:cs="仿宋_GB2312"/>
          <w:b/>
          <w:color w:val="000000" w:themeColor="text1"/>
          <w:sz w:val="28"/>
          <w:szCs w:val="28"/>
        </w:rPr>
        <w:t>人民币</w:t>
      </w:r>
      <w:r>
        <w:rPr>
          <w:rFonts w:hint="eastAsia" w:ascii="仿宋_GB2312" w:hAnsi="仿宋_GB2312" w:eastAsia="仿宋_GB2312" w:cs="仿宋_GB2312"/>
          <w:b/>
          <w:color w:val="000000" w:themeColor="text1"/>
          <w:sz w:val="28"/>
          <w:szCs w:val="28"/>
          <w:u w:val="single"/>
        </w:rPr>
        <w:t>10000元</w:t>
      </w:r>
      <w:r>
        <w:rPr>
          <w:rFonts w:hint="eastAsia" w:ascii="仿宋_GB2312" w:hAnsi="仿宋_GB2312" w:eastAsia="仿宋_GB2312" w:cs="仿宋_GB2312"/>
          <w:color w:val="000000" w:themeColor="text1"/>
          <w:sz w:val="28"/>
          <w:szCs w:val="28"/>
        </w:rPr>
        <w:t>，</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2.投标保证金核验方式为：投标文件递交的同时，投标单位将本票或汇票直接提交给投标文件接收人员。未按上述要求提交保证金交款凭据的，投标文件将不予接收。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个工作日内向招标人指定账号缴纳履约保证金10</w:t>
      </w:r>
      <w:r>
        <w:rPr>
          <w:rFonts w:ascii="仿宋_GB2312" w:hAnsi="仿宋_GB2312" w:eastAsia="仿宋_GB2312" w:cs="仿宋_GB2312"/>
          <w:color w:val="000000"/>
          <w:sz w:val="28"/>
          <w:szCs w:val="28"/>
        </w:rPr>
        <w:t>000</w:t>
      </w:r>
      <w:r>
        <w:rPr>
          <w:rFonts w:hint="eastAsia" w:ascii="仿宋_GB2312" w:hAnsi="仿宋_GB2312" w:eastAsia="仿宋_GB2312" w:cs="仿宋_GB2312"/>
          <w:color w:val="000000"/>
          <w:sz w:val="28"/>
          <w:szCs w:val="28"/>
        </w:rPr>
        <w:t>元。</w:t>
      </w:r>
    </w:p>
    <w:p>
      <w:pPr>
        <w:shd w:val="clear" w:color="auto" w:fill="FFFFFF"/>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4.</w:t>
      </w:r>
      <w:r>
        <w:rPr>
          <w:rFonts w:hint="eastAsia" w:ascii="仿宋_GB2312" w:hAnsi="仿宋_GB2312" w:eastAsia="仿宋_GB2312" w:cs="仿宋_GB2312"/>
          <w:sz w:val="28"/>
          <w:szCs w:val="28"/>
        </w:rPr>
        <w:t>除不可抗力情况外，投标人</w:t>
      </w:r>
      <w:r>
        <w:rPr>
          <w:rFonts w:hint="eastAsia" w:ascii="仿宋_GB2312" w:hAnsi="仿宋_GB2312" w:eastAsia="仿宋_GB2312" w:cs="仿宋_GB2312"/>
          <w:color w:val="000000"/>
          <w:sz w:val="28"/>
          <w:szCs w:val="28"/>
        </w:rPr>
        <w:t>发生下列任何情况之一，投标保证金将被没收，</w:t>
      </w:r>
      <w:r>
        <w:rPr>
          <w:rFonts w:hint="eastAsia" w:ascii="仿宋_GB2312" w:hAnsi="仿宋_GB2312" w:eastAsia="仿宋_GB2312" w:cs="仿宋_GB2312"/>
          <w:sz w:val="28"/>
          <w:szCs w:val="28"/>
        </w:rPr>
        <w:t>给招标人造成的损失超过投标保证金或履约保证金数额的，中标人还应当对超过部分予以赔偿：</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（1）投标人在投标有效期内撤回其投标；</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（2）中标人在规定期限内未签订合同；</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（3）投标人提供的有关资料、资格证书被确认是不真实的；</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（4）投标人被证明有妨碍其他人公平竞争、损害招标人或者其他投标人合法权益的；</w:t>
      </w:r>
    </w:p>
    <w:p>
      <w:pPr>
        <w:adjustRightInd w:val="0"/>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w:t>
      </w:r>
      <w:r>
        <w:rPr>
          <w:rFonts w:hint="eastAsia" w:ascii="仿宋_GB2312" w:hAnsi="仿宋_GB2312" w:eastAsia="仿宋_GB2312" w:cs="仿宋_GB2312"/>
          <w:sz w:val="28"/>
          <w:szCs w:val="28"/>
        </w:rPr>
        <w:t>投标人故意捏造事实或伪造证明材料，进行虚假恶意投诉或反映的</w:t>
      </w:r>
      <w:r>
        <w:rPr>
          <w:rFonts w:hint="eastAsia" w:ascii="仿宋_GB2312" w:hAnsi="仿宋_GB2312" w:eastAsia="仿宋_GB2312" w:cs="仿宋_GB2312"/>
          <w:color w:val="000000"/>
          <w:sz w:val="28"/>
          <w:szCs w:val="28"/>
        </w:rPr>
        <w:t>。</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招标结束后，招标人可组织有关部门对中标人进行实地考察，对所投产品的采购过程、运输过程等环节进行跟踪，一经发现中标人有虚假行为的，将取消中标资格，没收投标保证金，作为不良行为清退出江苏省盐城技师学院招标市场，打入黑名单。</w:t>
      </w:r>
    </w:p>
    <w:p>
      <w:pPr>
        <w:spacing w:line="560" w:lineRule="exact"/>
        <w:ind w:firstLine="560" w:firstLineChars="200"/>
        <w:rPr>
          <w:rFonts w:ascii="黑体" w:hAnsi="黑体" w:eastAsia="黑体" w:cs="黑体"/>
          <w:b/>
          <w:bCs/>
          <w:sz w:val="28"/>
          <w:szCs w:val="28"/>
        </w:rPr>
      </w:pPr>
      <w:r>
        <w:rPr>
          <w:rFonts w:hint="eastAsia" w:ascii="仿宋_GB2312" w:hAnsi="仿宋_GB2312" w:eastAsia="仿宋_GB2312" w:cs="仿宋_GB2312"/>
          <w:sz w:val="28"/>
          <w:szCs w:val="28"/>
        </w:rPr>
        <w:t>6.履约保证金的退还：按合同要求供货并验收合格，供货期满后全额退还。</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五、报名、招标文件发售、投标文件递交截止时间、开标时间及地点</w:t>
      </w:r>
    </w:p>
    <w:p>
      <w:pPr>
        <w:shd w:val="clear" w:color="auto" w:fill="FFFFFF"/>
        <w:spacing w:line="560" w:lineRule="exact"/>
        <w:ind w:firstLine="560" w:firstLineChars="200"/>
        <w:rPr>
          <w:rFonts w:ascii="仿宋_GB2312" w:hAnsi="仿宋_GB2312" w:eastAsia="仿宋_GB2312" w:cs="仿宋_GB2312"/>
          <w:b/>
          <w:color w:val="000000"/>
          <w:sz w:val="28"/>
          <w:szCs w:val="28"/>
          <w:u w:val="single"/>
        </w:rPr>
      </w:pPr>
      <w:r>
        <w:rPr>
          <w:rFonts w:hint="eastAsia" w:ascii="仿宋_GB2312" w:hAnsi="仿宋_GB2312" w:eastAsia="仿宋_GB2312" w:cs="仿宋_GB2312"/>
          <w:color w:val="000000"/>
          <w:sz w:val="28"/>
          <w:szCs w:val="28"/>
        </w:rPr>
        <w:t>1.报名、招标文件发售时间：</w:t>
      </w:r>
      <w:r>
        <w:rPr>
          <w:rFonts w:hint="eastAsia" w:ascii="仿宋_GB2312" w:hAnsi="仿宋_GB2312" w:eastAsia="仿宋_GB2312" w:cs="仿宋_GB2312"/>
          <w:b/>
          <w:color w:val="000000"/>
          <w:sz w:val="28"/>
          <w:szCs w:val="28"/>
          <w:u w:val="single"/>
        </w:rPr>
        <w:t>201</w:t>
      </w:r>
      <w:r>
        <w:rPr>
          <w:rFonts w:hint="eastAsia" w:ascii="仿宋_GB2312" w:hAnsi="仿宋_GB2312" w:eastAsia="仿宋_GB2312" w:cs="仿宋_GB2312"/>
          <w:b/>
          <w:color w:val="000000"/>
          <w:sz w:val="28"/>
          <w:szCs w:val="28"/>
          <w:u w:val="single"/>
          <w:lang w:val="en-US" w:eastAsia="zh-CN"/>
        </w:rPr>
        <w:t>9</w:t>
      </w:r>
      <w:r>
        <w:rPr>
          <w:rFonts w:hint="eastAsia" w:ascii="仿宋_GB2312" w:hAnsi="仿宋_GB2312" w:eastAsia="仿宋_GB2312" w:cs="仿宋_GB2312"/>
          <w:b/>
          <w:color w:val="000000"/>
          <w:sz w:val="28"/>
          <w:szCs w:val="28"/>
          <w:u w:val="single"/>
        </w:rPr>
        <w:t>年</w:t>
      </w:r>
      <w:r>
        <w:rPr>
          <w:rFonts w:hint="eastAsia" w:ascii="仿宋_GB2312" w:hAnsi="仿宋_GB2312" w:eastAsia="仿宋_GB2312" w:cs="仿宋_GB2312"/>
          <w:b/>
          <w:color w:val="000000"/>
          <w:sz w:val="28"/>
          <w:szCs w:val="28"/>
          <w:u w:val="single"/>
          <w:lang w:val="en-US" w:eastAsia="zh-CN"/>
        </w:rPr>
        <w:t>7</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8</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7</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12</w:t>
      </w:r>
      <w:r>
        <w:rPr>
          <w:rFonts w:hint="eastAsia" w:ascii="仿宋_GB2312" w:hAnsi="仿宋_GB2312" w:eastAsia="仿宋_GB2312" w:cs="仿宋_GB2312"/>
          <w:b/>
          <w:color w:val="000000"/>
          <w:sz w:val="28"/>
          <w:szCs w:val="28"/>
          <w:u w:val="single"/>
        </w:rPr>
        <w:t>日（9:00-11:00；15:00—17:</w:t>
      </w:r>
      <w:r>
        <w:rPr>
          <w:rFonts w:hint="eastAsia" w:ascii="仿宋_GB2312" w:hAnsi="仿宋_GB2312" w:eastAsia="仿宋_GB2312" w:cs="仿宋_GB2312"/>
          <w:b/>
          <w:color w:val="000000"/>
          <w:sz w:val="28"/>
          <w:szCs w:val="28"/>
          <w:u w:val="single"/>
          <w:lang w:val="en-US" w:eastAsia="zh-CN"/>
        </w:rPr>
        <w:t>00</w:t>
      </w:r>
      <w:r>
        <w:rPr>
          <w:rFonts w:hint="eastAsia" w:ascii="仿宋_GB2312" w:hAnsi="仿宋_GB2312" w:eastAsia="仿宋_GB2312" w:cs="仿宋_GB2312"/>
          <w:b/>
          <w:color w:val="000000"/>
          <w:sz w:val="28"/>
          <w:szCs w:val="28"/>
          <w:u w:val="single"/>
        </w:rPr>
        <w:t>）；</w:t>
      </w:r>
    </w:p>
    <w:p>
      <w:pPr>
        <w:shd w:val="clear" w:color="auto" w:fill="FFFFFF"/>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地点：盐城市文港中路128号江苏省盐城技师学院研发中心大楼1001会议室。</w:t>
      </w:r>
    </w:p>
    <w:p>
      <w:pPr>
        <w:shd w:val="clear" w:color="auto" w:fill="FFFFFF"/>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联系人：杨老师 0515—68661001</w:t>
      </w:r>
      <w:r>
        <w:rPr>
          <w:rFonts w:hint="eastAsia" w:ascii="仿宋_GB2312" w:hAnsi="仿宋_GB2312" w:eastAsia="仿宋_GB2312" w:cs="仿宋_GB2312"/>
          <w:color w:val="000000"/>
          <w:sz w:val="28"/>
          <w:szCs w:val="28"/>
        </w:rPr>
        <w:t>/13770176940</w:t>
      </w:r>
    </w:p>
    <w:p>
      <w:pPr>
        <w:shd w:val="clear" w:color="auto" w:fill="FFFFFF"/>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2.投标文件递</w:t>
      </w:r>
      <w:bookmarkStart w:id="0" w:name="_GoBack"/>
      <w:bookmarkEnd w:id="0"/>
      <w:r>
        <w:rPr>
          <w:rFonts w:hint="eastAsia" w:ascii="仿宋_GB2312" w:hAnsi="仿宋_GB2312" w:eastAsia="仿宋_GB2312" w:cs="仿宋_GB2312"/>
          <w:color w:val="000000" w:themeColor="text1"/>
          <w:sz w:val="28"/>
          <w:szCs w:val="28"/>
        </w:rPr>
        <w:t>交截止时间：</w:t>
      </w:r>
      <w:r>
        <w:rPr>
          <w:rFonts w:hint="eastAsia" w:ascii="仿宋_GB2312" w:hAnsi="仿宋_GB2312" w:eastAsia="仿宋_GB2312" w:cs="仿宋_GB2312"/>
          <w:b/>
          <w:color w:val="000000" w:themeColor="text1"/>
          <w:sz w:val="28"/>
          <w:szCs w:val="28"/>
          <w:u w:val="single"/>
        </w:rPr>
        <w:t>2019年</w:t>
      </w:r>
      <w:r>
        <w:rPr>
          <w:rFonts w:hint="eastAsia" w:ascii="仿宋_GB2312" w:hAnsi="仿宋_GB2312" w:eastAsia="仿宋_GB2312" w:cs="仿宋_GB2312"/>
          <w:b/>
          <w:color w:val="000000" w:themeColor="text1"/>
          <w:sz w:val="28"/>
          <w:szCs w:val="28"/>
          <w:u w:val="single"/>
          <w:lang w:val="en-US" w:eastAsia="zh-CN"/>
        </w:rPr>
        <w:t>7</w:t>
      </w:r>
      <w:r>
        <w:rPr>
          <w:rFonts w:hint="eastAsia" w:ascii="仿宋_GB2312" w:hAnsi="仿宋_GB2312" w:eastAsia="仿宋_GB2312" w:cs="仿宋_GB2312"/>
          <w:b/>
          <w:color w:val="000000" w:themeColor="text1"/>
          <w:sz w:val="28"/>
          <w:szCs w:val="28"/>
          <w:u w:val="single"/>
        </w:rPr>
        <w:t>月</w:t>
      </w:r>
      <w:r>
        <w:rPr>
          <w:rFonts w:hint="eastAsia" w:ascii="仿宋_GB2312" w:hAnsi="仿宋_GB2312" w:eastAsia="仿宋_GB2312" w:cs="仿宋_GB2312"/>
          <w:b/>
          <w:color w:val="000000" w:themeColor="text1"/>
          <w:sz w:val="28"/>
          <w:szCs w:val="28"/>
          <w:u w:val="single"/>
          <w:lang w:val="en-US" w:eastAsia="zh-CN"/>
        </w:rPr>
        <w:t>16</w:t>
      </w:r>
      <w:r>
        <w:rPr>
          <w:rFonts w:hint="eastAsia" w:ascii="仿宋_GB2312" w:hAnsi="仿宋_GB2312" w:eastAsia="仿宋_GB2312" w:cs="仿宋_GB2312"/>
          <w:b/>
          <w:color w:val="000000" w:themeColor="text1"/>
          <w:sz w:val="28"/>
          <w:szCs w:val="28"/>
          <w:u w:val="single"/>
        </w:rPr>
        <w:t>日</w:t>
      </w:r>
      <w:r>
        <w:rPr>
          <w:rFonts w:hint="eastAsia" w:ascii="仿宋_GB2312" w:hAnsi="仿宋_GB2312" w:eastAsia="仿宋_GB2312" w:cs="仿宋_GB2312"/>
          <w:b/>
          <w:color w:val="000000" w:themeColor="text1"/>
          <w:sz w:val="28"/>
          <w:szCs w:val="28"/>
          <w:u w:val="single"/>
          <w:lang w:val="en-US" w:eastAsia="zh-CN"/>
        </w:rPr>
        <w:t>8</w:t>
      </w:r>
      <w:r>
        <w:rPr>
          <w:rFonts w:hint="eastAsia" w:ascii="仿宋_GB2312" w:hAnsi="仿宋_GB2312" w:eastAsia="仿宋_GB2312" w:cs="仿宋_GB2312"/>
          <w:b/>
          <w:color w:val="000000" w:themeColor="text1"/>
          <w:sz w:val="28"/>
          <w:szCs w:val="28"/>
          <w:u w:val="single"/>
        </w:rPr>
        <w:t>时</w:t>
      </w:r>
      <w:r>
        <w:rPr>
          <w:rFonts w:hint="eastAsia" w:ascii="仿宋_GB2312" w:hAnsi="仿宋_GB2312" w:eastAsia="仿宋_GB2312" w:cs="仿宋_GB2312"/>
          <w:b/>
          <w:color w:val="000000" w:themeColor="text1"/>
          <w:sz w:val="28"/>
          <w:szCs w:val="28"/>
          <w:u w:val="single"/>
          <w:lang w:val="en-US" w:eastAsia="zh-CN"/>
        </w:rPr>
        <w:t>45</w:t>
      </w:r>
      <w:r>
        <w:rPr>
          <w:rFonts w:hint="eastAsia" w:ascii="仿宋_GB2312" w:hAnsi="仿宋_GB2312" w:eastAsia="仿宋_GB2312" w:cs="仿宋_GB2312"/>
          <w:b/>
          <w:color w:val="000000" w:themeColor="text1"/>
          <w:sz w:val="28"/>
          <w:szCs w:val="28"/>
          <w:u w:val="single"/>
        </w:rPr>
        <w:t>分00秒；</w:t>
      </w:r>
    </w:p>
    <w:p>
      <w:pPr>
        <w:shd w:val="clear" w:color="auto" w:fill="FFFFFF"/>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3.开标时间：</w:t>
      </w:r>
      <w:r>
        <w:rPr>
          <w:rFonts w:hint="eastAsia" w:ascii="仿宋_GB2312" w:hAnsi="仿宋_GB2312" w:eastAsia="仿宋_GB2312" w:cs="仿宋_GB2312"/>
          <w:b/>
          <w:color w:val="000000" w:themeColor="text1"/>
          <w:sz w:val="28"/>
          <w:szCs w:val="28"/>
          <w:u w:val="single"/>
        </w:rPr>
        <w:t>2019年</w:t>
      </w:r>
      <w:r>
        <w:rPr>
          <w:rFonts w:hint="eastAsia" w:ascii="仿宋_GB2312" w:hAnsi="仿宋_GB2312" w:eastAsia="仿宋_GB2312" w:cs="仿宋_GB2312"/>
          <w:b/>
          <w:color w:val="000000" w:themeColor="text1"/>
          <w:sz w:val="28"/>
          <w:szCs w:val="28"/>
          <w:u w:val="single"/>
          <w:lang w:val="en-US" w:eastAsia="zh-CN"/>
        </w:rPr>
        <w:t>7</w:t>
      </w:r>
      <w:r>
        <w:rPr>
          <w:rFonts w:hint="eastAsia" w:ascii="仿宋_GB2312" w:hAnsi="仿宋_GB2312" w:eastAsia="仿宋_GB2312" w:cs="仿宋_GB2312"/>
          <w:b/>
          <w:color w:val="000000" w:themeColor="text1"/>
          <w:sz w:val="28"/>
          <w:szCs w:val="28"/>
          <w:u w:val="single"/>
        </w:rPr>
        <w:t>月</w:t>
      </w:r>
      <w:r>
        <w:rPr>
          <w:rFonts w:hint="eastAsia" w:ascii="仿宋_GB2312" w:hAnsi="仿宋_GB2312" w:eastAsia="仿宋_GB2312" w:cs="仿宋_GB2312"/>
          <w:b/>
          <w:color w:val="000000" w:themeColor="text1"/>
          <w:sz w:val="28"/>
          <w:szCs w:val="28"/>
          <w:u w:val="single"/>
          <w:lang w:val="en-US" w:eastAsia="zh-CN"/>
        </w:rPr>
        <w:t>16</w:t>
      </w:r>
      <w:r>
        <w:rPr>
          <w:rFonts w:hint="eastAsia" w:ascii="仿宋_GB2312" w:hAnsi="仿宋_GB2312" w:eastAsia="仿宋_GB2312" w:cs="仿宋_GB2312"/>
          <w:b/>
          <w:color w:val="000000" w:themeColor="text1"/>
          <w:sz w:val="28"/>
          <w:szCs w:val="28"/>
          <w:u w:val="single"/>
        </w:rPr>
        <w:t>日</w:t>
      </w:r>
      <w:r>
        <w:rPr>
          <w:rFonts w:hint="eastAsia" w:ascii="仿宋_GB2312" w:hAnsi="仿宋_GB2312" w:eastAsia="仿宋_GB2312" w:cs="仿宋_GB2312"/>
          <w:b/>
          <w:color w:val="000000" w:themeColor="text1"/>
          <w:sz w:val="28"/>
          <w:szCs w:val="28"/>
          <w:u w:val="single"/>
          <w:lang w:val="en-US" w:eastAsia="zh-CN"/>
        </w:rPr>
        <w:t>8</w:t>
      </w:r>
      <w:r>
        <w:rPr>
          <w:rFonts w:hint="eastAsia" w:ascii="仿宋_GB2312" w:hAnsi="仿宋_GB2312" w:eastAsia="仿宋_GB2312" w:cs="仿宋_GB2312"/>
          <w:b/>
          <w:color w:val="000000" w:themeColor="text1"/>
          <w:sz w:val="28"/>
          <w:szCs w:val="28"/>
          <w:u w:val="single"/>
        </w:rPr>
        <w:t>时</w:t>
      </w:r>
      <w:r>
        <w:rPr>
          <w:rFonts w:hint="eastAsia" w:ascii="仿宋_GB2312" w:hAnsi="仿宋_GB2312" w:eastAsia="仿宋_GB2312" w:cs="仿宋_GB2312"/>
          <w:b/>
          <w:color w:val="000000" w:themeColor="text1"/>
          <w:sz w:val="28"/>
          <w:szCs w:val="28"/>
          <w:u w:val="single"/>
          <w:lang w:val="en-US" w:eastAsia="zh-CN"/>
        </w:rPr>
        <w:t>45</w:t>
      </w:r>
      <w:r>
        <w:rPr>
          <w:rFonts w:hint="eastAsia" w:ascii="仿宋_GB2312" w:hAnsi="仿宋_GB2312" w:eastAsia="仿宋_GB2312" w:cs="仿宋_GB2312"/>
          <w:b/>
          <w:color w:val="000000" w:themeColor="text1"/>
          <w:sz w:val="28"/>
          <w:szCs w:val="28"/>
          <w:u w:val="single"/>
        </w:rPr>
        <w:t>分00秒；</w:t>
      </w:r>
    </w:p>
    <w:p>
      <w:pPr>
        <w:shd w:val="clear" w:color="auto" w:fill="FFFFFF"/>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 w:eastAsia="仿宋_GB2312"/>
          <w:color w:val="000000"/>
          <w:sz w:val="28"/>
          <w:szCs w:val="28"/>
        </w:rPr>
        <w:t>4.</w:t>
      </w:r>
      <w:r>
        <w:rPr>
          <w:rFonts w:hint="eastAsia" w:ascii="仿宋_GB2312" w:hAnsi="仿宋_GB2312" w:eastAsia="仿宋_GB2312" w:cs="仿宋_GB2312"/>
          <w:color w:val="000000" w:themeColor="text1"/>
          <w:sz w:val="28"/>
          <w:szCs w:val="28"/>
        </w:rPr>
        <w:t>投标文件递交及开标地点：盐城市文港中路128号江苏省盐城技师学院研发中心大楼1109会议室。</w:t>
      </w:r>
    </w:p>
    <w:p>
      <w:pPr>
        <w:adjustRightInd w:val="0"/>
        <w:snapToGrid w:val="0"/>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 w:eastAsia="仿宋_GB2312"/>
          <w:color w:val="000000"/>
          <w:sz w:val="28"/>
          <w:szCs w:val="28"/>
        </w:rPr>
        <w:t>5.招标人可以按照规定，通过修改招标文件有权酌情延长投标截止日期，在此情况下，投标人的所有权利和义务以及投标人受制的截止日期均应以延长后新的截止日期为准。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00" w:lineRule="exact"/>
        <w:ind w:firstLine="560" w:firstLineChars="200"/>
      </w:pPr>
      <w:r>
        <w:rPr>
          <w:rFonts w:ascii="仿宋_GB2312" w:hAnsi="??" w:eastAsia="仿宋_GB2312" w:cs="仿宋_GB2312"/>
          <w:color w:val="000000"/>
          <w:sz w:val="28"/>
          <w:szCs w:val="28"/>
        </w:rPr>
        <w:t>6.</w:t>
      </w:r>
      <w:r>
        <w:rPr>
          <w:rFonts w:hint="eastAsia" w:ascii="仿宋_GB2312" w:hAnsi="??" w:eastAsia="仿宋_GB2312" w:cs="仿宋_GB2312"/>
          <w:color w:val="000000"/>
          <w:sz w:val="28"/>
          <w:szCs w:val="28"/>
        </w:rPr>
        <w:t>招标（采购）资料费</w:t>
      </w:r>
      <w:r>
        <w:rPr>
          <w:rFonts w:ascii="仿宋_GB2312" w:hAnsi="??" w:eastAsia="仿宋_GB2312" w:cs="仿宋_GB2312"/>
          <w:color w:val="000000"/>
          <w:sz w:val="28"/>
          <w:szCs w:val="28"/>
        </w:rPr>
        <w:t xml:space="preserve"> 200 </w:t>
      </w:r>
      <w:r>
        <w:rPr>
          <w:rFonts w:hint="eastAsia" w:ascii="仿宋_GB2312" w:hAnsi="??" w:eastAsia="仿宋_GB2312" w:cs="仿宋_GB2312"/>
          <w:color w:val="000000"/>
          <w:sz w:val="28"/>
          <w:szCs w:val="28"/>
        </w:rPr>
        <w:t>元，投标人交纳的招标（采购）资料费，售后不退。</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六、期望得到的协助与配合</w:t>
      </w:r>
    </w:p>
    <w:p>
      <w:pPr>
        <w:adjustRightInd w:val="0"/>
        <w:snapToGrid w:val="0"/>
        <w:spacing w:line="500" w:lineRule="exact"/>
        <w:ind w:firstLine="560" w:firstLineChars="200"/>
        <w:rPr>
          <w:rFonts w:ascii="仿宋_GB2312" w:hAnsi="仿宋_GB2312" w:eastAsia="仿宋_GB2312" w:cs="仿宋_GB2312"/>
          <w:b/>
          <w:bCs/>
          <w:color w:val="000000"/>
          <w:sz w:val="28"/>
          <w:szCs w:val="28"/>
        </w:rPr>
      </w:pPr>
      <w:r>
        <w:rPr>
          <w:rFonts w:hint="eastAsia" w:ascii="仿宋_GB2312" w:hAnsi="??"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hd w:val="clear" w:color="auto" w:fill="FFFFFF"/>
        <w:spacing w:line="500" w:lineRule="exact"/>
        <w:ind w:firstLine="562" w:firstLineChars="200"/>
        <w:rPr>
          <w:rFonts w:ascii="仿宋_GB2312" w:eastAsia="仿宋_GB2312"/>
          <w:sz w:val="28"/>
          <w:szCs w:val="28"/>
        </w:rPr>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0000000000000000000"/>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5121" o:spid="_x0000_s5121"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5"/>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420793E"/>
    <w:rsid w:val="000417C1"/>
    <w:rsid w:val="0015740A"/>
    <w:rsid w:val="00174F55"/>
    <w:rsid w:val="001D6384"/>
    <w:rsid w:val="00271110"/>
    <w:rsid w:val="002B097F"/>
    <w:rsid w:val="002E7D7D"/>
    <w:rsid w:val="003032C3"/>
    <w:rsid w:val="004120BE"/>
    <w:rsid w:val="004F3425"/>
    <w:rsid w:val="00542043"/>
    <w:rsid w:val="00557F91"/>
    <w:rsid w:val="0064538F"/>
    <w:rsid w:val="00734B35"/>
    <w:rsid w:val="00895C9B"/>
    <w:rsid w:val="008C312F"/>
    <w:rsid w:val="009123DA"/>
    <w:rsid w:val="00935F0B"/>
    <w:rsid w:val="009545F5"/>
    <w:rsid w:val="00A35E9E"/>
    <w:rsid w:val="00AB54A7"/>
    <w:rsid w:val="00AD7022"/>
    <w:rsid w:val="00B27ED7"/>
    <w:rsid w:val="00C44A09"/>
    <w:rsid w:val="00CC675E"/>
    <w:rsid w:val="00D506FF"/>
    <w:rsid w:val="00DA59AF"/>
    <w:rsid w:val="00E23924"/>
    <w:rsid w:val="00F51886"/>
    <w:rsid w:val="00FB5168"/>
    <w:rsid w:val="01754E63"/>
    <w:rsid w:val="02905653"/>
    <w:rsid w:val="02DD2BC9"/>
    <w:rsid w:val="030569B7"/>
    <w:rsid w:val="03784BFE"/>
    <w:rsid w:val="03EA6A18"/>
    <w:rsid w:val="04573C8A"/>
    <w:rsid w:val="04620737"/>
    <w:rsid w:val="04C12B4C"/>
    <w:rsid w:val="04CD3D0D"/>
    <w:rsid w:val="04D67AA6"/>
    <w:rsid w:val="04DE0814"/>
    <w:rsid w:val="05020EE2"/>
    <w:rsid w:val="051004D3"/>
    <w:rsid w:val="05272FAA"/>
    <w:rsid w:val="053541A6"/>
    <w:rsid w:val="05B15802"/>
    <w:rsid w:val="067009E3"/>
    <w:rsid w:val="06B24841"/>
    <w:rsid w:val="06BB5646"/>
    <w:rsid w:val="06BE5519"/>
    <w:rsid w:val="06BF7541"/>
    <w:rsid w:val="070058ED"/>
    <w:rsid w:val="072842ED"/>
    <w:rsid w:val="07976D19"/>
    <w:rsid w:val="07C66943"/>
    <w:rsid w:val="07CC07D2"/>
    <w:rsid w:val="07DA3CFE"/>
    <w:rsid w:val="08037EE2"/>
    <w:rsid w:val="08CF4786"/>
    <w:rsid w:val="08E9492E"/>
    <w:rsid w:val="091A0CCA"/>
    <w:rsid w:val="0A2658EF"/>
    <w:rsid w:val="0A5A3AF7"/>
    <w:rsid w:val="0AEB2D57"/>
    <w:rsid w:val="0AFC45D4"/>
    <w:rsid w:val="0B112E9B"/>
    <w:rsid w:val="0B4344D8"/>
    <w:rsid w:val="0B62067E"/>
    <w:rsid w:val="0B626DEC"/>
    <w:rsid w:val="0BBD1B43"/>
    <w:rsid w:val="0BF37B28"/>
    <w:rsid w:val="0C206B85"/>
    <w:rsid w:val="0C525545"/>
    <w:rsid w:val="0D8536A8"/>
    <w:rsid w:val="0DA5454E"/>
    <w:rsid w:val="0DED0E93"/>
    <w:rsid w:val="0EEB53EE"/>
    <w:rsid w:val="0EED3DB3"/>
    <w:rsid w:val="0F78360A"/>
    <w:rsid w:val="0FA34244"/>
    <w:rsid w:val="10486C99"/>
    <w:rsid w:val="104F483B"/>
    <w:rsid w:val="10A02C4D"/>
    <w:rsid w:val="11AD3851"/>
    <w:rsid w:val="125D6101"/>
    <w:rsid w:val="12B94D24"/>
    <w:rsid w:val="12C23695"/>
    <w:rsid w:val="12D34D55"/>
    <w:rsid w:val="131953C2"/>
    <w:rsid w:val="133B5B6E"/>
    <w:rsid w:val="1387289B"/>
    <w:rsid w:val="138A3CBD"/>
    <w:rsid w:val="13BF20EE"/>
    <w:rsid w:val="140A4E9E"/>
    <w:rsid w:val="141A7C53"/>
    <w:rsid w:val="141E3E24"/>
    <w:rsid w:val="15275C96"/>
    <w:rsid w:val="15304B83"/>
    <w:rsid w:val="155F42E2"/>
    <w:rsid w:val="158F25A4"/>
    <w:rsid w:val="1615594C"/>
    <w:rsid w:val="161A2398"/>
    <w:rsid w:val="16D60D5C"/>
    <w:rsid w:val="16FA1EEA"/>
    <w:rsid w:val="172356C7"/>
    <w:rsid w:val="178F4D9A"/>
    <w:rsid w:val="18352C7A"/>
    <w:rsid w:val="18707FE4"/>
    <w:rsid w:val="187679A2"/>
    <w:rsid w:val="18E01AC6"/>
    <w:rsid w:val="191A26D1"/>
    <w:rsid w:val="193534EA"/>
    <w:rsid w:val="1949555F"/>
    <w:rsid w:val="1966611B"/>
    <w:rsid w:val="196E67AF"/>
    <w:rsid w:val="19D42B02"/>
    <w:rsid w:val="1A0033A8"/>
    <w:rsid w:val="1A2E19C8"/>
    <w:rsid w:val="1A473D66"/>
    <w:rsid w:val="1A7C6625"/>
    <w:rsid w:val="1ACF0032"/>
    <w:rsid w:val="1B1D036B"/>
    <w:rsid w:val="1B370055"/>
    <w:rsid w:val="1B72678F"/>
    <w:rsid w:val="1C6537A6"/>
    <w:rsid w:val="1CB94466"/>
    <w:rsid w:val="1CE76D94"/>
    <w:rsid w:val="1D027E40"/>
    <w:rsid w:val="1DE562A8"/>
    <w:rsid w:val="1DF8357D"/>
    <w:rsid w:val="1E1823DE"/>
    <w:rsid w:val="1E4C0DD8"/>
    <w:rsid w:val="1E9F10E2"/>
    <w:rsid w:val="1EB96B5B"/>
    <w:rsid w:val="1FF91DF2"/>
    <w:rsid w:val="204D1C40"/>
    <w:rsid w:val="206B365D"/>
    <w:rsid w:val="20D76EA1"/>
    <w:rsid w:val="20FD07C0"/>
    <w:rsid w:val="2147322F"/>
    <w:rsid w:val="21645F4F"/>
    <w:rsid w:val="216E25F1"/>
    <w:rsid w:val="216E48EC"/>
    <w:rsid w:val="21D15555"/>
    <w:rsid w:val="226515A1"/>
    <w:rsid w:val="228D12FD"/>
    <w:rsid w:val="23CA22C6"/>
    <w:rsid w:val="23D90E3E"/>
    <w:rsid w:val="2420793E"/>
    <w:rsid w:val="242F2957"/>
    <w:rsid w:val="24B37275"/>
    <w:rsid w:val="24C34269"/>
    <w:rsid w:val="24CF072F"/>
    <w:rsid w:val="24D36639"/>
    <w:rsid w:val="24E15C47"/>
    <w:rsid w:val="24E429E3"/>
    <w:rsid w:val="24F91061"/>
    <w:rsid w:val="25241D99"/>
    <w:rsid w:val="25BD36CE"/>
    <w:rsid w:val="25C27D0F"/>
    <w:rsid w:val="263372DB"/>
    <w:rsid w:val="26450D03"/>
    <w:rsid w:val="26B462D2"/>
    <w:rsid w:val="272E76AB"/>
    <w:rsid w:val="27B73D55"/>
    <w:rsid w:val="28627E33"/>
    <w:rsid w:val="29305867"/>
    <w:rsid w:val="293C3219"/>
    <w:rsid w:val="296E1849"/>
    <w:rsid w:val="296E617B"/>
    <w:rsid w:val="29D03263"/>
    <w:rsid w:val="2A1C2EA3"/>
    <w:rsid w:val="2AA75F42"/>
    <w:rsid w:val="2BA12CCB"/>
    <w:rsid w:val="2BE118B0"/>
    <w:rsid w:val="2BF253AE"/>
    <w:rsid w:val="2BF95B4F"/>
    <w:rsid w:val="2C106434"/>
    <w:rsid w:val="2C225919"/>
    <w:rsid w:val="2C430B45"/>
    <w:rsid w:val="2C9629A2"/>
    <w:rsid w:val="2CD34D7C"/>
    <w:rsid w:val="2D3A397F"/>
    <w:rsid w:val="2D7B6D42"/>
    <w:rsid w:val="2D84147B"/>
    <w:rsid w:val="2E0E5BC3"/>
    <w:rsid w:val="2E806B78"/>
    <w:rsid w:val="2EC87D3B"/>
    <w:rsid w:val="2F3F269E"/>
    <w:rsid w:val="2FA0451A"/>
    <w:rsid w:val="305623F2"/>
    <w:rsid w:val="305B42AA"/>
    <w:rsid w:val="3070445C"/>
    <w:rsid w:val="308D17A0"/>
    <w:rsid w:val="30F53A27"/>
    <w:rsid w:val="30F938C5"/>
    <w:rsid w:val="3152597F"/>
    <w:rsid w:val="31721C46"/>
    <w:rsid w:val="318B0625"/>
    <w:rsid w:val="31BF58C7"/>
    <w:rsid w:val="31D24362"/>
    <w:rsid w:val="31F604A7"/>
    <w:rsid w:val="31FD11F6"/>
    <w:rsid w:val="33297F74"/>
    <w:rsid w:val="334912C7"/>
    <w:rsid w:val="336C1CB6"/>
    <w:rsid w:val="33AE7E7D"/>
    <w:rsid w:val="33E33C0E"/>
    <w:rsid w:val="33F84487"/>
    <w:rsid w:val="340D52DD"/>
    <w:rsid w:val="34CC6B8D"/>
    <w:rsid w:val="35365D30"/>
    <w:rsid w:val="357F79F7"/>
    <w:rsid w:val="35FD18B8"/>
    <w:rsid w:val="36140B55"/>
    <w:rsid w:val="36781BE1"/>
    <w:rsid w:val="36CD5879"/>
    <w:rsid w:val="370C49F9"/>
    <w:rsid w:val="371E16DF"/>
    <w:rsid w:val="37314630"/>
    <w:rsid w:val="377B7619"/>
    <w:rsid w:val="37A23E34"/>
    <w:rsid w:val="38421E2B"/>
    <w:rsid w:val="38585BA1"/>
    <w:rsid w:val="38BB2241"/>
    <w:rsid w:val="38E14EED"/>
    <w:rsid w:val="38FF2799"/>
    <w:rsid w:val="393F5562"/>
    <w:rsid w:val="394F79A9"/>
    <w:rsid w:val="3A114339"/>
    <w:rsid w:val="3B374DEA"/>
    <w:rsid w:val="3B6162F8"/>
    <w:rsid w:val="3B721FC2"/>
    <w:rsid w:val="3B855F46"/>
    <w:rsid w:val="3C0304BE"/>
    <w:rsid w:val="3CD866D3"/>
    <w:rsid w:val="3CED2288"/>
    <w:rsid w:val="3D2D679A"/>
    <w:rsid w:val="3D7F4F0B"/>
    <w:rsid w:val="3DAC0C31"/>
    <w:rsid w:val="3DD95AFA"/>
    <w:rsid w:val="3DFF1EF8"/>
    <w:rsid w:val="3E8460EE"/>
    <w:rsid w:val="3F0262BC"/>
    <w:rsid w:val="3F1818E5"/>
    <w:rsid w:val="3F787D93"/>
    <w:rsid w:val="3FBE063B"/>
    <w:rsid w:val="404416ED"/>
    <w:rsid w:val="40F90C7F"/>
    <w:rsid w:val="411357D5"/>
    <w:rsid w:val="41E85DD7"/>
    <w:rsid w:val="42536595"/>
    <w:rsid w:val="42AA1947"/>
    <w:rsid w:val="42B82C2B"/>
    <w:rsid w:val="42FE74B6"/>
    <w:rsid w:val="439767E4"/>
    <w:rsid w:val="44350275"/>
    <w:rsid w:val="44554B49"/>
    <w:rsid w:val="445F5174"/>
    <w:rsid w:val="4465398B"/>
    <w:rsid w:val="447F785B"/>
    <w:rsid w:val="44A658FB"/>
    <w:rsid w:val="44B03BC9"/>
    <w:rsid w:val="44E73EF9"/>
    <w:rsid w:val="454E139C"/>
    <w:rsid w:val="455C3DEB"/>
    <w:rsid w:val="45AF7247"/>
    <w:rsid w:val="45F14ABD"/>
    <w:rsid w:val="45F85DE8"/>
    <w:rsid w:val="46544D95"/>
    <w:rsid w:val="468D0324"/>
    <w:rsid w:val="470E6FC0"/>
    <w:rsid w:val="471E16F3"/>
    <w:rsid w:val="473A4A33"/>
    <w:rsid w:val="475E2D19"/>
    <w:rsid w:val="47AC3932"/>
    <w:rsid w:val="47EB0CDC"/>
    <w:rsid w:val="481D48A9"/>
    <w:rsid w:val="48211BC8"/>
    <w:rsid w:val="482C68E1"/>
    <w:rsid w:val="4859040D"/>
    <w:rsid w:val="49932239"/>
    <w:rsid w:val="4A0952BB"/>
    <w:rsid w:val="4A300DBD"/>
    <w:rsid w:val="4B183B51"/>
    <w:rsid w:val="4B3F7782"/>
    <w:rsid w:val="4B820B2B"/>
    <w:rsid w:val="4BE37C6A"/>
    <w:rsid w:val="4BFD7E37"/>
    <w:rsid w:val="4C702BBA"/>
    <w:rsid w:val="4C805C6D"/>
    <w:rsid w:val="4CCF2497"/>
    <w:rsid w:val="4CFB3FC6"/>
    <w:rsid w:val="4D752DFF"/>
    <w:rsid w:val="4DE62960"/>
    <w:rsid w:val="4E100D3C"/>
    <w:rsid w:val="4E555139"/>
    <w:rsid w:val="4E6526E6"/>
    <w:rsid w:val="4E93279E"/>
    <w:rsid w:val="4F74653C"/>
    <w:rsid w:val="4F8A4F4F"/>
    <w:rsid w:val="4FDD24ED"/>
    <w:rsid w:val="4FDD3E90"/>
    <w:rsid w:val="5037777B"/>
    <w:rsid w:val="505111BF"/>
    <w:rsid w:val="50545AF2"/>
    <w:rsid w:val="50D73E99"/>
    <w:rsid w:val="51361776"/>
    <w:rsid w:val="51600B1E"/>
    <w:rsid w:val="517E4F27"/>
    <w:rsid w:val="51C27A83"/>
    <w:rsid w:val="51FB2DD7"/>
    <w:rsid w:val="52AC24D9"/>
    <w:rsid w:val="53B27B60"/>
    <w:rsid w:val="53B75D03"/>
    <w:rsid w:val="549417C5"/>
    <w:rsid w:val="54FC429F"/>
    <w:rsid w:val="557C0A69"/>
    <w:rsid w:val="55824CEA"/>
    <w:rsid w:val="55891293"/>
    <w:rsid w:val="56790D72"/>
    <w:rsid w:val="5698536E"/>
    <w:rsid w:val="56D25390"/>
    <w:rsid w:val="57250D68"/>
    <w:rsid w:val="57384182"/>
    <w:rsid w:val="573D0770"/>
    <w:rsid w:val="57A424EA"/>
    <w:rsid w:val="57C23453"/>
    <w:rsid w:val="57D00C63"/>
    <w:rsid w:val="580E34C8"/>
    <w:rsid w:val="581C645A"/>
    <w:rsid w:val="584568F4"/>
    <w:rsid w:val="584B3F0D"/>
    <w:rsid w:val="594F6C2F"/>
    <w:rsid w:val="595A4C77"/>
    <w:rsid w:val="59A01DC1"/>
    <w:rsid w:val="59E14449"/>
    <w:rsid w:val="59F71742"/>
    <w:rsid w:val="5A0C0BD4"/>
    <w:rsid w:val="5A593B83"/>
    <w:rsid w:val="5A5B4BA8"/>
    <w:rsid w:val="5AF236EB"/>
    <w:rsid w:val="5BAB7008"/>
    <w:rsid w:val="5BF36E11"/>
    <w:rsid w:val="5C0F2A95"/>
    <w:rsid w:val="5C114079"/>
    <w:rsid w:val="5CA24964"/>
    <w:rsid w:val="5CA54004"/>
    <w:rsid w:val="5CB155B2"/>
    <w:rsid w:val="5CF86948"/>
    <w:rsid w:val="5D303546"/>
    <w:rsid w:val="5E301F60"/>
    <w:rsid w:val="5E5516EB"/>
    <w:rsid w:val="5EB24D06"/>
    <w:rsid w:val="5EC00FDE"/>
    <w:rsid w:val="5EC64EA4"/>
    <w:rsid w:val="5F281093"/>
    <w:rsid w:val="60227C7F"/>
    <w:rsid w:val="603A5B0C"/>
    <w:rsid w:val="60CC7CAC"/>
    <w:rsid w:val="61CE13A3"/>
    <w:rsid w:val="624F051E"/>
    <w:rsid w:val="625A0DB8"/>
    <w:rsid w:val="62A62883"/>
    <w:rsid w:val="62CD2233"/>
    <w:rsid w:val="62D500B6"/>
    <w:rsid w:val="62D82626"/>
    <w:rsid w:val="63413B72"/>
    <w:rsid w:val="64140E68"/>
    <w:rsid w:val="64571B9A"/>
    <w:rsid w:val="64A5749D"/>
    <w:rsid w:val="655E0FA9"/>
    <w:rsid w:val="657813C0"/>
    <w:rsid w:val="65D95392"/>
    <w:rsid w:val="668A38E9"/>
    <w:rsid w:val="67831A61"/>
    <w:rsid w:val="679C1A9D"/>
    <w:rsid w:val="67B55190"/>
    <w:rsid w:val="67F4698C"/>
    <w:rsid w:val="68A00632"/>
    <w:rsid w:val="68F35391"/>
    <w:rsid w:val="68FB3B7E"/>
    <w:rsid w:val="690762AF"/>
    <w:rsid w:val="693C2AA7"/>
    <w:rsid w:val="69A0054D"/>
    <w:rsid w:val="69AD0F89"/>
    <w:rsid w:val="6A77390C"/>
    <w:rsid w:val="6AD81C25"/>
    <w:rsid w:val="6AF3713C"/>
    <w:rsid w:val="6B376C34"/>
    <w:rsid w:val="6BA87F93"/>
    <w:rsid w:val="6BD84A7F"/>
    <w:rsid w:val="6C7D702F"/>
    <w:rsid w:val="6CC02D04"/>
    <w:rsid w:val="6D0D3BDF"/>
    <w:rsid w:val="6D390973"/>
    <w:rsid w:val="6D6832C7"/>
    <w:rsid w:val="6D6D5F4E"/>
    <w:rsid w:val="6D886EFA"/>
    <w:rsid w:val="6DB854D6"/>
    <w:rsid w:val="6DF050D9"/>
    <w:rsid w:val="6E4008B0"/>
    <w:rsid w:val="6E40383D"/>
    <w:rsid w:val="6F542FCF"/>
    <w:rsid w:val="6F630792"/>
    <w:rsid w:val="6F93454C"/>
    <w:rsid w:val="6FE27AE4"/>
    <w:rsid w:val="70C50946"/>
    <w:rsid w:val="710F6F32"/>
    <w:rsid w:val="71374F2B"/>
    <w:rsid w:val="71397A19"/>
    <w:rsid w:val="71512C49"/>
    <w:rsid w:val="71533157"/>
    <w:rsid w:val="71661C44"/>
    <w:rsid w:val="717945FE"/>
    <w:rsid w:val="717E223A"/>
    <w:rsid w:val="71B1120F"/>
    <w:rsid w:val="71D64F7C"/>
    <w:rsid w:val="71E550EA"/>
    <w:rsid w:val="71F54C9C"/>
    <w:rsid w:val="72561178"/>
    <w:rsid w:val="72734C1E"/>
    <w:rsid w:val="72740CB8"/>
    <w:rsid w:val="729332F5"/>
    <w:rsid w:val="736C170B"/>
    <w:rsid w:val="739D7F65"/>
    <w:rsid w:val="73BA6DE5"/>
    <w:rsid w:val="73E56406"/>
    <w:rsid w:val="75295C38"/>
    <w:rsid w:val="75944194"/>
    <w:rsid w:val="75C54221"/>
    <w:rsid w:val="75CD3DB4"/>
    <w:rsid w:val="75F34E22"/>
    <w:rsid w:val="769047F5"/>
    <w:rsid w:val="77090A3A"/>
    <w:rsid w:val="771C7F31"/>
    <w:rsid w:val="773C77FD"/>
    <w:rsid w:val="777827AE"/>
    <w:rsid w:val="777D7660"/>
    <w:rsid w:val="78394C11"/>
    <w:rsid w:val="7851569A"/>
    <w:rsid w:val="785C5927"/>
    <w:rsid w:val="786063AE"/>
    <w:rsid w:val="7867422D"/>
    <w:rsid w:val="78B42281"/>
    <w:rsid w:val="78BD3664"/>
    <w:rsid w:val="792371B9"/>
    <w:rsid w:val="797319D3"/>
    <w:rsid w:val="798E22BC"/>
    <w:rsid w:val="79E119B9"/>
    <w:rsid w:val="79E50035"/>
    <w:rsid w:val="7A0D633B"/>
    <w:rsid w:val="7A1E0228"/>
    <w:rsid w:val="7A26713E"/>
    <w:rsid w:val="7A3B09D3"/>
    <w:rsid w:val="7A63163F"/>
    <w:rsid w:val="7A68385C"/>
    <w:rsid w:val="7A6C62F9"/>
    <w:rsid w:val="7AAC4B34"/>
    <w:rsid w:val="7AD91F4C"/>
    <w:rsid w:val="7AE3339F"/>
    <w:rsid w:val="7AEF5512"/>
    <w:rsid w:val="7B3C50D0"/>
    <w:rsid w:val="7B5535B5"/>
    <w:rsid w:val="7B722606"/>
    <w:rsid w:val="7BD61B09"/>
    <w:rsid w:val="7C335EBE"/>
    <w:rsid w:val="7C3F1C90"/>
    <w:rsid w:val="7D263586"/>
    <w:rsid w:val="7D783C20"/>
    <w:rsid w:val="7DAA2184"/>
    <w:rsid w:val="7DF37B47"/>
    <w:rsid w:val="7E4452D5"/>
    <w:rsid w:val="7E5B7F26"/>
    <w:rsid w:val="7E632A4F"/>
    <w:rsid w:val="7EA45AFC"/>
    <w:rsid w:val="7EE215A1"/>
    <w:rsid w:val="7FF828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99"/>
    <w:pPr>
      <w:keepNext/>
      <w:keepLines/>
      <w:spacing w:before="340" w:after="330" w:line="360" w:lineRule="auto"/>
      <w:jc w:val="center"/>
      <w:outlineLvl w:val="0"/>
    </w:pPr>
    <w:rPr>
      <w:rFonts w:ascii="Times New Roman" w:hAnsi="Times New Roman"/>
      <w:b/>
      <w:bCs/>
      <w:kern w:val="44"/>
      <w:sz w:val="44"/>
      <w:szCs w:val="44"/>
    </w:rPr>
  </w:style>
  <w:style w:type="paragraph" w:styleId="5">
    <w:name w:val="heading 2"/>
    <w:next w:val="1"/>
    <w:qFormat/>
    <w:uiPriority w:val="0"/>
    <w:pPr>
      <w:keepNext/>
      <w:keepLines/>
      <w:widowControl w:val="0"/>
      <w:spacing w:before="260" w:after="260" w:line="415" w:lineRule="auto"/>
      <w:jc w:val="both"/>
      <w:outlineLvl w:val="1"/>
    </w:pPr>
    <w:rPr>
      <w:rFonts w:ascii="Arial" w:hAnsi="Arial" w:eastAsia="黑体" w:cs="Times New Roman"/>
      <w:b/>
      <w:bCs/>
      <w:kern w:val="1"/>
      <w:sz w:val="32"/>
      <w:szCs w:val="3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qFormat/>
    <w:uiPriority w:val="99"/>
    <w:pPr>
      <w:spacing w:after="120"/>
    </w:pPr>
  </w:style>
  <w:style w:type="paragraph" w:styleId="6">
    <w:name w:val="Body Text Indent"/>
    <w:basedOn w:val="1"/>
    <w:qFormat/>
    <w:uiPriority w:val="0"/>
    <w:pPr>
      <w:ind w:left="-105" w:firstLine="232" w:firstLineChars="232"/>
    </w:pPr>
    <w:rPr>
      <w:rFonts w:eastAsia="仿宋_GB2312"/>
      <w:sz w:val="32"/>
    </w:r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2">
    <w:name w:val="Hyperlink"/>
    <w:qFormat/>
    <w:uiPriority w:val="0"/>
    <w:rPr>
      <w:color w:val="006699"/>
      <w:u w:val="single"/>
    </w:rPr>
  </w:style>
  <w:style w:type="paragraph" w:customStyle="1" w:styleId="13">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0"/>
    </w:rPr>
  </w:style>
  <w:style w:type="paragraph" w:customStyle="1" w:styleId="14">
    <w:name w:val="正文 1.1.1"/>
    <w:basedOn w:val="1"/>
    <w:next w:val="1"/>
    <w:qFormat/>
    <w:uiPriority w:val="99"/>
    <w:pPr>
      <w:adjustRightInd w:val="0"/>
      <w:spacing w:line="360" w:lineRule="auto"/>
      <w:textAlignment w:val="baseline"/>
      <w:outlineLvl w:val="2"/>
    </w:pPr>
    <w:rPr>
      <w:rFonts w:ascii="宋体" w:hAnsi="宋体" w:eastAsia="仿宋"/>
      <w:kern w:val="0"/>
      <w:sz w:val="28"/>
      <w:szCs w:val="21"/>
    </w:rPr>
  </w:style>
  <w:style w:type="character" w:customStyle="1" w:styleId="15">
    <w:name w:val="页眉 Char"/>
    <w:basedOn w:val="11"/>
    <w:link w:val="8"/>
    <w:qFormat/>
    <w:uiPriority w:val="0"/>
    <w:rPr>
      <w:rFonts w:ascii="Calibri" w:hAnsi="Calibri"/>
      <w:kern w:val="2"/>
      <w:sz w:val="18"/>
      <w:szCs w:val="18"/>
    </w:rPr>
  </w:style>
  <w:style w:type="character" w:customStyle="1" w:styleId="16">
    <w:name w:val="页脚 Char"/>
    <w:basedOn w:val="11"/>
    <w:link w:val="7"/>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512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18</Pages>
  <Words>1217</Words>
  <Characters>6937</Characters>
  <Lines>57</Lines>
  <Paragraphs>16</Paragraphs>
  <TotalTime>0</TotalTime>
  <ScaleCrop>false</ScaleCrop>
  <LinksUpToDate>false</LinksUpToDate>
  <CharactersWithSpaces>8138</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2019-06-01T02:23:00Z</dcterms:created>
  <dc:creator>yy</dc:creator>
  <cp:lastModifiedBy>yy</cp:lastModifiedBy>
  <cp:lastPrinted>2018-06-09T09:01:00Z</cp:lastPrinted>
  <dcterms:modified xsi:type="dcterms:W3CDTF">2019-07-08T10:02:05Z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