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62</w:t>
      </w:r>
      <w:r>
        <w:rPr>
          <w:rFonts w:ascii="楷体_GB2312" w:hAnsi="楷体_GB2312" w:eastAsia="楷体_GB2312" w:cs="楷体_GB2312"/>
          <w:b/>
          <w:bCs/>
          <w:color w:val="000000"/>
          <w:sz w:val="36"/>
          <w:szCs w:val="36"/>
          <w:u w:val="single"/>
        </w:rPr>
        <w:t>#</w:t>
      </w:r>
    </w:p>
    <w:p>
      <w:pPr>
        <w:ind w:left="1843" w:hanging="1843" w:hangingChars="510"/>
        <w:rPr>
          <w:rFonts w:hint="eastAsia" w:ascii="楷体_GB2312" w:hAnsi="楷体_GB2312" w:eastAsia="宋体" w:cs="Times New Roman"/>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2019年暑期机械加工类设备维修、保养</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bookmarkStart w:id="0" w:name="_GoBack"/>
      <w:bookmarkEnd w:id="0"/>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eastAsia="zh-CN"/>
        </w:rPr>
        <w:t>2019年暑期机械加工类设备维修、保养项目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tbl>
      <w:tblPr>
        <w:tblStyle w:val="10"/>
        <w:tblW w:w="9047" w:type="dxa"/>
        <w:jc w:val="center"/>
        <w:tblInd w:w="0" w:type="dxa"/>
        <w:tblLayout w:type="fixed"/>
        <w:tblCellMar>
          <w:top w:w="0" w:type="dxa"/>
          <w:left w:w="108" w:type="dxa"/>
          <w:bottom w:w="0" w:type="dxa"/>
          <w:right w:w="108" w:type="dxa"/>
        </w:tblCellMar>
      </w:tblPr>
      <w:tblGrid>
        <w:gridCol w:w="684"/>
        <w:gridCol w:w="1546"/>
        <w:gridCol w:w="625"/>
        <w:gridCol w:w="600"/>
        <w:gridCol w:w="4013"/>
        <w:gridCol w:w="818"/>
        <w:gridCol w:w="761"/>
      </w:tblGrid>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5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名 称</w:t>
            </w:r>
          </w:p>
        </w:tc>
        <w:tc>
          <w:tcPr>
            <w:tcW w:w="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数量</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c>
          <w:tcPr>
            <w:tcW w:w="40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规格型号</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报价</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备 注</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highlight w:val="yellow"/>
                <w:lang w:eastAsia="zh-CN"/>
              </w:rPr>
              <w:t>机械工程学院维修</w:t>
            </w:r>
            <w:r>
              <w:rPr>
                <w:rFonts w:hint="eastAsia" w:ascii="仿宋_GB2312" w:hAnsi="仿宋_GB2312" w:eastAsia="仿宋_GB2312" w:cs="仿宋_GB2312"/>
                <w:b/>
                <w:bCs/>
                <w:color w:val="000000"/>
                <w:kern w:val="0"/>
                <w:sz w:val="21"/>
                <w:szCs w:val="21"/>
                <w:highlight w:val="yellow"/>
              </w:rPr>
              <w:t>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12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水管损坏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8</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照明灯损坏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启动、停止按钮损坏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快速移动机构不灵或没反应</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水泵不灵或没反应</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中滑板新配件没安装</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装调</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车床</w:t>
            </w:r>
            <w:r>
              <w:rPr>
                <w:rFonts w:hint="eastAsia" w:ascii="仿宋_GB2312" w:hAnsi="仿宋_GB2312" w:eastAsia="仿宋_GB2312" w:cs="仿宋_GB2312"/>
                <w:color w:val="000000"/>
                <w:kern w:val="0"/>
                <w:sz w:val="21"/>
                <w:szCs w:val="21"/>
                <w:lang w:eastAsia="zh-CN"/>
              </w:rPr>
              <w:t>，CA6140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进给箱噪音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铣床，X5032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自动进给机构失灵</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铣床，X5032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电源开关易跳闸</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手动磨床，GM250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水泵插头短路</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手动磨床，GM250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工作灯坏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手动磨床，GM250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摇把损坏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手动磨床，GM250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保险丝损坏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平面磨床</w:t>
            </w:r>
            <w:r>
              <w:rPr>
                <w:rFonts w:hint="eastAsia" w:ascii="仿宋_GB2312" w:hAnsi="仿宋_GB2312" w:eastAsia="仿宋_GB2312" w:cs="仿宋_GB2312"/>
                <w:color w:val="000000"/>
                <w:kern w:val="0"/>
                <w:sz w:val="21"/>
                <w:szCs w:val="21"/>
                <w:lang w:eastAsia="zh-CN"/>
              </w:rPr>
              <w:t>，M7130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米</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外包线损坏需换</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注塑机</w:t>
            </w:r>
            <w:r>
              <w:rPr>
                <w:rFonts w:hint="eastAsia" w:ascii="仿宋_GB2312" w:hAnsi="仿宋_GB2312" w:eastAsia="仿宋_GB2312" w:cs="仿宋_GB2312"/>
                <w:color w:val="000000"/>
                <w:kern w:val="0"/>
                <w:sz w:val="21"/>
                <w:szCs w:val="21"/>
                <w:lang w:eastAsia="zh-CN"/>
              </w:rPr>
              <w:t>，HTF90W1</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组</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p90自动润滑系统异常</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注塑机</w:t>
            </w:r>
            <w:r>
              <w:rPr>
                <w:rFonts w:hint="eastAsia" w:ascii="仿宋_GB2312" w:hAnsi="仿宋_GB2312" w:eastAsia="仿宋_GB2312" w:cs="仿宋_GB2312"/>
                <w:color w:val="000000"/>
                <w:kern w:val="0"/>
                <w:sz w:val="21"/>
                <w:szCs w:val="21"/>
                <w:lang w:eastAsia="zh-CN"/>
              </w:rPr>
              <w:t>，HTF90W1</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p90机械保险经常故障</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压力机，J23-16B</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打杆支架损坏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箱式电阻炉，KSY-12-16</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Ф14×600同径硅碳棒断裂</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箱式电阻炉，KSY-12-16</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Ф14×450不同径硅碳棒断裂</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线切割，FW1U</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图尔克接近开关行程开关损坏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线切割，FW1U</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水泵电机损坏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线切割，FW1U</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绝缘座断裂</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线切割，FW1U</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丝桶罩断裂</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线切割，FW1U</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PFZ-10板损坏（机床加工时无放电现象）</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钻床，Z4012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钻夹头损坏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钻床，Z4012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皮带断裂</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电脉冲机床，GS-320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无法开机</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穿孔机，SXD720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穿孔钻夹头坏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倒角机，jxm150</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片</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刀片损坏，并接电源</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公斤</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浅黄色/耐高温/698度</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圈</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气管(弹簧管)</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bdr w:val="single" w:color="000000" w:sz="4" w:space="0"/>
                <w:lang w:val="en-US" w:eastAsia="zh-CN" w:bidi="ar"/>
              </w:rPr>
              <w:pict>
                <v:shape id="Rectangle_16" o:spid="_x0000_s2056" o:spt="75" type="#_x0000_t75" style="position:absolute;left:0pt;margin-left:6.7pt;margin-top:0pt;height:0pt;width:46.45pt;z-index:251659264;mso-width-relative:page;mso-height-relative:page;" filled="f" o:preferrelative="t" stroked="f" coordsize="21600,21600">
                  <v:path/>
                  <v:fill on="f" focussize="0,0"/>
                  <v:stroke on="f" joinstyle="miter"/>
                  <v:imagedata r:id="rId5" o:title=""/>
                  <o:lock v:ext="edit" aspectratio="f"/>
                </v:shape>
              </w:pict>
            </w:r>
            <w:r>
              <w:rPr>
                <w:rFonts w:hint="eastAsia" w:ascii="仿宋_GB2312" w:hAnsi="仿宋_GB2312" w:eastAsia="仿宋_GB2312" w:cs="仿宋_GB2312"/>
                <w:i w:val="0"/>
                <w:color w:val="000000"/>
                <w:kern w:val="0"/>
                <w:sz w:val="21"/>
                <w:szCs w:val="21"/>
                <w:u w:val="none"/>
                <w:bdr w:val="single" w:color="000000" w:sz="4" w:space="0"/>
                <w:lang w:val="en-US" w:eastAsia="zh-CN" w:bidi="ar"/>
              </w:rPr>
              <w:pict>
                <v:shape id="Rectangle_16_SpCnt_1" o:spid="_x0000_s2057" o:spt="75" type="#_x0000_t75" style="position:absolute;left:0pt;margin-left:6.7pt;margin-top:0pt;height:0pt;width:46.45pt;z-index:251659264;mso-width-relative:page;mso-height-relative:page;" filled="f" o:preferrelative="t" stroked="f" coordsize="21600,21600">
                  <v:path/>
                  <v:fill on="f" focussize="0,0"/>
                  <v:stroke on="f" joinstyle="miter"/>
                  <v:imagedata r:id="rId6" o:title=""/>
                  <o:lock v:ext="edit" aspectratio="f"/>
                </v:shape>
              </w:pict>
            </w:r>
            <w:r>
              <w:rPr>
                <w:rFonts w:hint="eastAsia" w:ascii="仿宋_GB2312" w:hAnsi="仿宋_GB2312" w:eastAsia="仿宋_GB2312" w:cs="仿宋_GB2312"/>
                <w:i w:val="0"/>
                <w:color w:val="000000"/>
                <w:kern w:val="0"/>
                <w:sz w:val="21"/>
                <w:szCs w:val="21"/>
                <w:u w:val="none"/>
                <w:bdr w:val="single" w:color="000000" w:sz="4" w:space="0"/>
                <w:lang w:val="en-US" w:eastAsia="zh-CN" w:bidi="ar"/>
              </w:rPr>
              <w:pict>
                <v:shape id="Rectangle_16_SpCnt_2" o:spid="_x0000_s2058" o:spt="75" type="#_x0000_t75" style="position:absolute;left:0pt;margin-left:6.7pt;margin-top:0pt;height:0pt;width:46.45pt;z-index:251659264;mso-width-relative:page;mso-height-relative:page;" filled="f" o:preferrelative="t" stroked="f" coordsize="21600,21600">
                  <v:path/>
                  <v:fill on="f" focussize="0,0"/>
                  <v:stroke on="f" joinstyle="miter"/>
                  <v:imagedata r:id="rId7" o:title=""/>
                  <o:lock v:ext="edit" aspectratio="f"/>
                </v:shape>
              </w:pict>
            </w:r>
            <w:r>
              <w:rPr>
                <w:rFonts w:hint="eastAsia" w:ascii="仿宋_GB2312" w:hAnsi="仿宋_GB2312" w:eastAsia="仿宋_GB2312" w:cs="仿宋_GB2312"/>
                <w:i w:val="0"/>
                <w:color w:val="000000"/>
                <w:kern w:val="0"/>
                <w:sz w:val="21"/>
                <w:szCs w:val="21"/>
                <w:u w:val="none"/>
                <w:lang w:val="en-US" w:eastAsia="zh-CN" w:bidi="ar"/>
              </w:rPr>
              <w:t>同步带(上海伏龙500-5M 厚度15mm)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丝杠轴承76025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丝杠轴承102</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轴承7014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轴承8114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冷却软管断裂（3/8 内牙）</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组</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伺服放大器电池（西门子802C系统专用）没用</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加工中心，GSVM6540A</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手摇脉冲发生器（SK-B（西门子系统））损坏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钻床，z4012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YS8034三相异步电动机（1.1KW）损坏</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更换或维修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钻床，z4012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M</w:t>
            </w:r>
            <w:r>
              <w:rPr>
                <w:rStyle w:val="29"/>
                <w:rFonts w:hint="eastAsia" w:ascii="仿宋_GB2312" w:hAnsi="仿宋_GB2312" w:eastAsia="仿宋_GB2312" w:cs="仿宋_GB2312"/>
                <w:sz w:val="21"/>
                <w:szCs w:val="21"/>
                <w:lang w:val="en-US" w:eastAsia="zh-CN" w:bidi="ar"/>
              </w:rPr>
              <w:t>12胶木球缺少</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补齐</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76"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钻床，z4012</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M12手柄缺少</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补齐</w:t>
            </w:r>
          </w:p>
        </w:tc>
      </w:tr>
      <w:tr>
        <w:tblPrEx>
          <w:tblLayout w:type="fixed"/>
          <w:tblCellMar>
            <w:top w:w="0" w:type="dxa"/>
            <w:left w:w="108" w:type="dxa"/>
            <w:bottom w:w="0" w:type="dxa"/>
            <w:right w:w="108" w:type="dxa"/>
          </w:tblCellMar>
        </w:tblPrEx>
        <w:trPr>
          <w:trHeight w:val="276" w:hRule="atLeast"/>
          <w:jc w:val="center"/>
        </w:trPr>
        <w:tc>
          <w:tcPr>
            <w:tcW w:w="9047"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color w:val="000000"/>
                <w:kern w:val="0"/>
                <w:sz w:val="21"/>
                <w:szCs w:val="21"/>
                <w:highlight w:val="yellow"/>
                <w:lang w:eastAsia="zh-CN"/>
              </w:rPr>
              <w:t>数控技术学院维修</w:t>
            </w:r>
            <w:r>
              <w:rPr>
                <w:rFonts w:hint="eastAsia" w:ascii="仿宋_GB2312" w:hAnsi="仿宋_GB2312" w:eastAsia="仿宋_GB2312" w:cs="仿宋_GB2312"/>
                <w:b/>
                <w:bCs/>
                <w:color w:val="000000"/>
                <w:kern w:val="0"/>
                <w:sz w:val="21"/>
                <w:szCs w:val="21"/>
                <w:highlight w:val="yellow"/>
              </w:rPr>
              <w:t>项目</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数控机床电子手摇轮</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SK-B（法拉克系统）</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数控机床润滑油</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桶</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加美AW46抗磨液压油（170KG）</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球型冷却水管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圆嘴（含阀）</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三宇气枪</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AR-10（短枪）</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三宇气枪</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AR-12（长枪）</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气管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弹簧管</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pict>
                <v:shape id="_x0000_s2068" o:spid="_x0000_s2068" o:spt="75" type="#_x0000_t75" style="position:absolute;left:0pt;margin-left:6.75pt;margin-top:0pt;height:0pt;width:46.5pt;z-index:251660288;mso-width-relative:page;mso-height-relative:page;" filled="f" o:preferrelative="t" stroked="f" coordsize="21600,21600">
                  <v:path/>
                  <v:fill on="f" focussize="0,0"/>
                  <v:stroke on="f" joinstyle="miter"/>
                  <v:imagedata r:id="rId8" o:title=""/>
                  <o:lock v:ext="edit" aspectratio="f"/>
                </v:shape>
              </w:pict>
            </w:r>
            <w:r>
              <w:rPr>
                <w:rFonts w:hint="eastAsia" w:ascii="仿宋_GB2312" w:hAnsi="仿宋_GB2312" w:eastAsia="仿宋_GB2312" w:cs="仿宋_GB2312"/>
                <w:i w:val="0"/>
                <w:color w:val="000000"/>
                <w:kern w:val="0"/>
                <w:sz w:val="21"/>
                <w:szCs w:val="21"/>
                <w:u w:val="none"/>
                <w:lang w:val="en-US" w:eastAsia="zh-CN" w:bidi="ar"/>
              </w:rPr>
              <w:pict>
                <v:shape id="_x0000_s2069" o:spid="_x0000_s2069" o:spt="75" type="#_x0000_t75" style="position:absolute;left:0pt;margin-left:6.75pt;margin-top:0pt;height:0pt;width:46.5pt;z-index:251660288;mso-width-relative:page;mso-height-relative:page;" filled="f" o:preferrelative="t" stroked="f" coordsize="21600,21600">
                  <v:path/>
                  <v:fill on="f" focussize="0,0"/>
                  <v:stroke on="f" joinstyle="miter"/>
                  <v:imagedata r:id="rId8" o:title=""/>
                  <o:lock v:ext="edit" aspectratio="f"/>
                </v:shape>
              </w:pict>
            </w:r>
            <w:r>
              <w:rPr>
                <w:rFonts w:hint="eastAsia" w:ascii="仿宋_GB2312" w:hAnsi="仿宋_GB2312" w:eastAsia="仿宋_GB2312" w:cs="仿宋_GB2312"/>
                <w:i w:val="0"/>
                <w:color w:val="000000"/>
                <w:kern w:val="0"/>
                <w:sz w:val="21"/>
                <w:szCs w:val="21"/>
                <w:u w:val="none"/>
                <w:lang w:val="en-US" w:eastAsia="zh-CN" w:bidi="ar"/>
              </w:rPr>
              <w:pict>
                <v:shape id="_x0000_s2070" o:spid="_x0000_s2070" o:spt="75" type="#_x0000_t75" style="position:absolute;left:0pt;margin-left:6.75pt;margin-top:0pt;height:0pt;width:46.5pt;z-index:251660288;mso-width-relative:page;mso-height-relative:page;" filled="f" o:preferrelative="t" stroked="f" coordsize="21600,21600">
                  <v:path/>
                  <v:fill on="f" focussize="0,0"/>
                  <v:stroke on="f" joinstyle="miter"/>
                  <v:imagedata r:id="rId8" o:title=""/>
                  <o:lock v:ext="edit" aspectratio="f"/>
                </v:shape>
              </w:pict>
            </w:r>
            <w:r>
              <w:rPr>
                <w:rFonts w:hint="eastAsia" w:ascii="仿宋_GB2312" w:hAnsi="仿宋_GB2312" w:eastAsia="仿宋_GB2312" w:cs="仿宋_GB2312"/>
                <w:i w:val="0"/>
                <w:color w:val="000000"/>
                <w:kern w:val="0"/>
                <w:sz w:val="21"/>
                <w:szCs w:val="21"/>
                <w:u w:val="none"/>
                <w:lang w:val="en-US" w:eastAsia="zh-CN" w:bidi="ar"/>
              </w:rPr>
              <w:t>同步带</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上海伏龙500-5M 厚度15mm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76025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102</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7014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选择开关</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数控车X/Z选择开关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1/2冷却水管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冷却软管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3/8 内牙</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同步带</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上海伏龙500-5M 厚度15mm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76025</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丝杠轴承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102</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7014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轴承</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8114</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手摇脉冲器</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RGT600-001-100 B5L</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选择开关</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数控车X/Z选择开关</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1/2冷却水管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冷却软管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3/8 内牙</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接近开关</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CHE12-4PA-A710</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空压机空气滤芯</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件</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P002101</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空压机油过滤器</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件</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P018233</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空压机油分滤芯</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件</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P001931</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空压机螺杆机专用油</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桶</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046MC（18升/桶）</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29</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刀架发信盘</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宏达14/15T</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30</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电动加油泵</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hts/电动油泵/220V/1L</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31</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急停按钮</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CA6140配套</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32</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FANUC系统保险丝</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1A</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33</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机床CF卡</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2G（三件套）</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34</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百分表</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0-10mm（60）大表</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35</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千分表</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哈量0.001mm</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36</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液压磁性表座</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MG61003</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37</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液压磁性表座</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NF61003</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r>
        <w:tblPrEx>
          <w:tblLayout w:type="fixed"/>
          <w:tblCellMar>
            <w:top w:w="0" w:type="dxa"/>
            <w:left w:w="108" w:type="dxa"/>
            <w:bottom w:w="0" w:type="dxa"/>
            <w:right w:w="108" w:type="dxa"/>
          </w:tblCellMar>
        </w:tblPrEx>
        <w:trPr>
          <w:trHeight w:val="276"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38</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伺服驱动器</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40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A06B-6130-H003</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仿宋_GB2312" w:hAnsi="仿宋_GB2312" w:eastAsia="仿宋_GB2312" w:cs="仿宋_GB2312"/>
                <w:color w:val="000000"/>
                <w:kern w:val="0"/>
                <w:sz w:val="21"/>
                <w:szCs w:val="21"/>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材料</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zh-TW" w:eastAsia="zh-CN"/>
        </w:rPr>
        <w:t>机械加工类设备维修、保养</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完成项目维修和维修材料供应</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维修、安装、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5.74万元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日9时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62067E"/>
    <w:rsid w:val="0B626DEC"/>
    <w:rsid w:val="0B9A0FFE"/>
    <w:rsid w:val="0C206B85"/>
    <w:rsid w:val="0C32647A"/>
    <w:rsid w:val="0C525545"/>
    <w:rsid w:val="0D8536A8"/>
    <w:rsid w:val="0DA5454E"/>
    <w:rsid w:val="0EDD719A"/>
    <w:rsid w:val="0EED3DB3"/>
    <w:rsid w:val="0EFE5579"/>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372D41"/>
    <w:rsid w:val="16D60D5C"/>
    <w:rsid w:val="16FA1EEA"/>
    <w:rsid w:val="17095030"/>
    <w:rsid w:val="172356C7"/>
    <w:rsid w:val="178F4D9A"/>
    <w:rsid w:val="17C36D72"/>
    <w:rsid w:val="18181157"/>
    <w:rsid w:val="18352C7A"/>
    <w:rsid w:val="18707FE4"/>
    <w:rsid w:val="187679A2"/>
    <w:rsid w:val="188046C1"/>
    <w:rsid w:val="18C745AB"/>
    <w:rsid w:val="18ED294C"/>
    <w:rsid w:val="193534EA"/>
    <w:rsid w:val="1949555F"/>
    <w:rsid w:val="19D42B02"/>
    <w:rsid w:val="1A0033A8"/>
    <w:rsid w:val="1A2133EC"/>
    <w:rsid w:val="1A2E19C8"/>
    <w:rsid w:val="1A745C61"/>
    <w:rsid w:val="1A7C6625"/>
    <w:rsid w:val="1ACF0032"/>
    <w:rsid w:val="1AFC17ED"/>
    <w:rsid w:val="1B1D036B"/>
    <w:rsid w:val="1B370055"/>
    <w:rsid w:val="1C6537A6"/>
    <w:rsid w:val="1CB94466"/>
    <w:rsid w:val="1D027E40"/>
    <w:rsid w:val="1D4045E5"/>
    <w:rsid w:val="1DBD0FDF"/>
    <w:rsid w:val="1DDC4D25"/>
    <w:rsid w:val="1E1823DE"/>
    <w:rsid w:val="1E4C0DD8"/>
    <w:rsid w:val="1E9F10E2"/>
    <w:rsid w:val="1EB96B5B"/>
    <w:rsid w:val="20126BF3"/>
    <w:rsid w:val="20134F85"/>
    <w:rsid w:val="20530463"/>
    <w:rsid w:val="20A80B7A"/>
    <w:rsid w:val="20FD07C0"/>
    <w:rsid w:val="21645F4F"/>
    <w:rsid w:val="216E48EC"/>
    <w:rsid w:val="21D15555"/>
    <w:rsid w:val="229077BE"/>
    <w:rsid w:val="231A2EF3"/>
    <w:rsid w:val="23D90E3E"/>
    <w:rsid w:val="2420793E"/>
    <w:rsid w:val="242F2957"/>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E170254"/>
    <w:rsid w:val="2F322610"/>
    <w:rsid w:val="303C58FE"/>
    <w:rsid w:val="305B42AA"/>
    <w:rsid w:val="308D17A0"/>
    <w:rsid w:val="30B72DB4"/>
    <w:rsid w:val="30C73688"/>
    <w:rsid w:val="30D6335C"/>
    <w:rsid w:val="30F938C5"/>
    <w:rsid w:val="3152597F"/>
    <w:rsid w:val="31530179"/>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A114339"/>
    <w:rsid w:val="3A214802"/>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A0952BB"/>
    <w:rsid w:val="4A300DBD"/>
    <w:rsid w:val="4B183B51"/>
    <w:rsid w:val="4B196F1F"/>
    <w:rsid w:val="4B1C2C75"/>
    <w:rsid w:val="4B380954"/>
    <w:rsid w:val="4B9058EB"/>
    <w:rsid w:val="4BFD7E37"/>
    <w:rsid w:val="4C702BBA"/>
    <w:rsid w:val="4C805C6D"/>
    <w:rsid w:val="4CAC2473"/>
    <w:rsid w:val="4CD769BC"/>
    <w:rsid w:val="4CFB3FC6"/>
    <w:rsid w:val="4D752DFF"/>
    <w:rsid w:val="4D7B1CD8"/>
    <w:rsid w:val="4DE62960"/>
    <w:rsid w:val="4E100D3C"/>
    <w:rsid w:val="4E555139"/>
    <w:rsid w:val="4E6526E6"/>
    <w:rsid w:val="4E93279E"/>
    <w:rsid w:val="4F74653C"/>
    <w:rsid w:val="4FDD24ED"/>
    <w:rsid w:val="4FDD3E90"/>
    <w:rsid w:val="5037777B"/>
    <w:rsid w:val="511E5EEE"/>
    <w:rsid w:val="51361776"/>
    <w:rsid w:val="51600B1E"/>
    <w:rsid w:val="51A364AC"/>
    <w:rsid w:val="51BA08B0"/>
    <w:rsid w:val="51C27A83"/>
    <w:rsid w:val="51CE58E5"/>
    <w:rsid w:val="52AC24D9"/>
    <w:rsid w:val="52E56056"/>
    <w:rsid w:val="53AB3DE1"/>
    <w:rsid w:val="53B27B60"/>
    <w:rsid w:val="53B75D03"/>
    <w:rsid w:val="53D308F4"/>
    <w:rsid w:val="53D54629"/>
    <w:rsid w:val="542A14B9"/>
    <w:rsid w:val="54354562"/>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B32399A"/>
    <w:rsid w:val="5BAB7008"/>
    <w:rsid w:val="5C114079"/>
    <w:rsid w:val="5C9751C1"/>
    <w:rsid w:val="5CB155B2"/>
    <w:rsid w:val="5CF86948"/>
    <w:rsid w:val="5D303546"/>
    <w:rsid w:val="5D882094"/>
    <w:rsid w:val="5E104977"/>
    <w:rsid w:val="5E126555"/>
    <w:rsid w:val="5E5516EB"/>
    <w:rsid w:val="5EB24D06"/>
    <w:rsid w:val="5EC00FDE"/>
    <w:rsid w:val="5F213218"/>
    <w:rsid w:val="5F321484"/>
    <w:rsid w:val="5FB37032"/>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251283"/>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1A33EE"/>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8EA40BC"/>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1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6"/>
    <customShpInfo spid="_x0000_s2057"/>
    <customShpInfo spid="_x0000_s2058"/>
    <customShpInfo spid="_x0000_s2068"/>
    <customShpInfo spid="_x0000_s2069"/>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2</TotalTime>
  <ScaleCrop>false</ScaleCrop>
  <LinksUpToDate>false</LinksUpToDate>
  <CharactersWithSpaces>11657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2019-07-26T08:05:00Z</cp:lastPrinted>
  <dcterms:modified xsi:type="dcterms:W3CDTF">2019-07-29T02:56:51Z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