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bCs/>
          <w:sz w:val="44"/>
        </w:rPr>
      </w:pPr>
      <w:r>
        <w:rPr>
          <w:rFonts w:ascii="黑体" w:eastAsia="黑体"/>
          <w:bCs/>
          <w:sz w:val="44"/>
        </w:rPr>
        <w:t xml:space="preserve">  </w:t>
      </w:r>
    </w:p>
    <w:p>
      <w:pPr>
        <w:jc w:val="center"/>
        <w:rPr>
          <w:rFonts w:hint="eastAsia" w:eastAsia="宋体"/>
          <w:b/>
          <w:bCs/>
          <w:color w:val="000000"/>
          <w:sz w:val="84"/>
          <w:szCs w:val="84"/>
          <w:lang w:eastAsia="zh-CN"/>
        </w:rPr>
      </w:pPr>
      <w:r>
        <w:rPr>
          <w:rFonts w:hint="eastAsia" w:cs="宋体"/>
          <w:b/>
          <w:bCs/>
          <w:color w:val="000000"/>
          <w:sz w:val="84"/>
          <w:szCs w:val="84"/>
        </w:rPr>
        <w:t>招标</w:t>
      </w:r>
      <w:r>
        <w:rPr>
          <w:rFonts w:hint="eastAsia" w:cs="宋体"/>
          <w:b/>
          <w:bCs/>
          <w:color w:val="000000"/>
          <w:sz w:val="84"/>
          <w:szCs w:val="84"/>
          <w:lang w:eastAsia="zh-CN"/>
        </w:rPr>
        <w:t>公告</w:t>
      </w: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rPr>
          <w:rFonts w:ascii="宋体"/>
          <w:b/>
          <w:bCs/>
          <w:color w:val="000000"/>
          <w:sz w:val="36"/>
          <w:szCs w:val="36"/>
        </w:rPr>
      </w:pPr>
      <w:r>
        <w:rPr>
          <w:rFonts w:hint="eastAsia" w:ascii="宋体" w:hAnsi="宋体" w:cs="宋体"/>
          <w:b/>
          <w:bCs/>
          <w:color w:val="000000"/>
          <w:sz w:val="36"/>
          <w:szCs w:val="36"/>
        </w:rPr>
        <w:t>项目编号：</w:t>
      </w:r>
      <w:r>
        <w:rPr>
          <w:rFonts w:hint="eastAsia" w:ascii="楷体_GB2312" w:hAnsi="楷体_GB2312" w:eastAsia="楷体_GB2312" w:cs="楷体_GB2312"/>
          <w:b/>
          <w:bCs/>
          <w:color w:val="000000"/>
          <w:sz w:val="36"/>
          <w:szCs w:val="36"/>
          <w:u w:val="single"/>
        </w:rPr>
        <w:t>院总编：</w:t>
      </w:r>
      <w:r>
        <w:rPr>
          <w:rFonts w:ascii="楷体_GB2312" w:hAnsi="楷体_GB2312" w:eastAsia="楷体_GB2312" w:cs="楷体_GB2312"/>
          <w:b/>
          <w:bCs/>
          <w:color w:val="000000"/>
          <w:sz w:val="36"/>
          <w:szCs w:val="36"/>
          <w:u w:val="single"/>
        </w:rPr>
        <w:t>20</w:t>
      </w:r>
      <w:r>
        <w:rPr>
          <w:rFonts w:hint="eastAsia" w:ascii="楷体_GB2312" w:hAnsi="楷体_GB2312" w:eastAsia="楷体_GB2312" w:cs="楷体_GB2312"/>
          <w:b/>
          <w:bCs/>
          <w:color w:val="000000"/>
          <w:sz w:val="36"/>
          <w:szCs w:val="36"/>
          <w:u w:val="single"/>
        </w:rPr>
        <w:t>20</w:t>
      </w:r>
      <w:r>
        <w:rPr>
          <w:rFonts w:ascii="楷体_GB2312" w:hAnsi="楷体_GB2312" w:eastAsia="楷体_GB2312" w:cs="楷体_GB2312"/>
          <w:b/>
          <w:bCs/>
          <w:color w:val="000000"/>
          <w:sz w:val="36"/>
          <w:szCs w:val="36"/>
          <w:u w:val="single"/>
        </w:rPr>
        <w:t>-</w:t>
      </w:r>
      <w:r>
        <w:rPr>
          <w:rFonts w:hint="eastAsia" w:ascii="楷体_GB2312" w:hAnsi="楷体_GB2312" w:eastAsia="楷体_GB2312" w:cs="楷体_GB2312"/>
          <w:b/>
          <w:bCs/>
          <w:color w:val="000000"/>
          <w:sz w:val="36"/>
          <w:szCs w:val="36"/>
          <w:u w:val="single"/>
        </w:rPr>
        <w:t>14</w:t>
      </w:r>
      <w:r>
        <w:rPr>
          <w:rFonts w:ascii="楷体_GB2312" w:hAnsi="楷体_GB2312" w:eastAsia="楷体_GB2312" w:cs="楷体_GB2312"/>
          <w:b/>
          <w:bCs/>
          <w:color w:val="000000"/>
          <w:sz w:val="36"/>
          <w:szCs w:val="36"/>
          <w:u w:val="single"/>
        </w:rPr>
        <w:t>#</w:t>
      </w:r>
    </w:p>
    <w:p>
      <w:pPr>
        <w:spacing w:line="640" w:lineRule="exact"/>
        <w:ind w:right="-483" w:rightChars="-230"/>
        <w:rPr>
          <w:rFonts w:ascii="宋体" w:cs="??_GB2312"/>
          <w:b/>
          <w:bCs/>
          <w:color w:val="000000"/>
          <w:sz w:val="36"/>
          <w:szCs w:val="36"/>
          <w:u w:val="single"/>
          <w:lang w:val="zh-TW"/>
        </w:rPr>
      </w:pPr>
      <w:r>
        <w:rPr>
          <w:rFonts w:hint="eastAsia" w:ascii="宋体" w:hAnsi="宋体" w:cs="宋体"/>
          <w:b/>
          <w:bCs/>
          <w:color w:val="000000"/>
          <w:sz w:val="36"/>
          <w:szCs w:val="36"/>
        </w:rPr>
        <w:t>项目名称：</w:t>
      </w:r>
      <w:r>
        <w:rPr>
          <w:rFonts w:hint="eastAsia" w:ascii="楷体_GB2312" w:hAnsi="楷体_GB2312" w:eastAsia="楷体_GB2312" w:cs="楷体_GB2312"/>
          <w:b/>
          <w:bCs/>
          <w:color w:val="000000"/>
          <w:sz w:val="36"/>
          <w:szCs w:val="36"/>
          <w:u w:val="single"/>
          <w:lang w:val="zh-TW"/>
        </w:rPr>
        <w:t>海洋路校区校牌制作</w:t>
      </w:r>
    </w:p>
    <w:p>
      <w:pPr>
        <w:spacing w:line="640" w:lineRule="exact"/>
        <w:ind w:right="-483" w:rightChars="-230"/>
        <w:rPr>
          <w:rFonts w:ascii="宋体" w:cs="宋体"/>
          <w:b/>
          <w:bCs/>
          <w:color w:val="000000"/>
          <w:sz w:val="36"/>
          <w:szCs w:val="36"/>
        </w:rPr>
      </w:pPr>
      <w:r>
        <w:rPr>
          <w:rFonts w:hint="eastAsia" w:ascii="宋体" w:hAnsi="宋体" w:cs="宋体"/>
          <w:b/>
          <w:bCs/>
          <w:color w:val="000000"/>
          <w:w w:val="120"/>
          <w:sz w:val="36"/>
          <w:szCs w:val="36"/>
          <w:lang w:val="zh-TW"/>
        </w:rPr>
        <w:t>招标人：</w:t>
      </w:r>
      <w:r>
        <w:rPr>
          <w:rFonts w:hint="eastAsia" w:ascii="楷体_GB2312" w:hAnsi="楷体_GB2312" w:eastAsia="楷体_GB2312" w:cs="楷体_GB2312"/>
          <w:b/>
          <w:bCs/>
          <w:color w:val="000000"/>
          <w:sz w:val="36"/>
          <w:szCs w:val="36"/>
          <w:u w:val="single"/>
          <w:lang w:val="zh-TW"/>
        </w:rPr>
        <w:t>江苏省盐城技师学院</w:t>
      </w:r>
    </w:p>
    <w:p>
      <w:pPr>
        <w:jc w:val="center"/>
        <w:rPr>
          <w:rFonts w:ascii="宋体" w:cs="宋体"/>
          <w:b/>
          <w:bCs/>
          <w:color w:val="000000"/>
          <w:sz w:val="36"/>
          <w:szCs w:val="36"/>
        </w:rPr>
      </w:pP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jc w:val="center"/>
        <w:rPr>
          <w:rFonts w:ascii="黑体" w:eastAsia="黑体" w:cs="黑体"/>
          <w:color w:val="000000"/>
          <w:sz w:val="44"/>
          <w:szCs w:val="44"/>
        </w:rPr>
      </w:pPr>
      <w:r>
        <w:rPr>
          <w:rFonts w:ascii="黑体" w:eastAsia="黑体" w:cs="黑体"/>
          <w:color w:val="000000"/>
          <w:sz w:val="44"/>
          <w:szCs w:val="44"/>
        </w:rPr>
        <w:t>2020</w:t>
      </w:r>
      <w:r>
        <w:rPr>
          <w:rFonts w:hint="eastAsia" w:ascii="黑体" w:eastAsia="黑体" w:cs="黑体"/>
          <w:color w:val="000000"/>
          <w:sz w:val="44"/>
          <w:szCs w:val="44"/>
        </w:rPr>
        <w:t>年</w:t>
      </w:r>
      <w:r>
        <w:rPr>
          <w:rFonts w:ascii="黑体" w:eastAsia="黑体" w:cs="黑体"/>
          <w:color w:val="000000"/>
          <w:sz w:val="44"/>
          <w:szCs w:val="44"/>
        </w:rPr>
        <w:t>3</w:t>
      </w:r>
      <w:r>
        <w:rPr>
          <w:rFonts w:hint="eastAsia" w:ascii="黑体" w:eastAsia="黑体" w:cs="黑体"/>
          <w:color w:val="000000"/>
          <w:sz w:val="44"/>
          <w:szCs w:val="44"/>
        </w:rPr>
        <w:t>月</w:t>
      </w:r>
    </w:p>
    <w:p>
      <w:pPr>
        <w:jc w:val="center"/>
        <w:rPr>
          <w:rFonts w:ascii="黑体" w:eastAsia="黑体" w:cs="黑体"/>
          <w:color w:val="000000"/>
          <w:sz w:val="44"/>
          <w:szCs w:val="44"/>
        </w:rPr>
      </w:pPr>
    </w:p>
    <w:p>
      <w:pPr>
        <w:jc w:val="center"/>
        <w:rPr>
          <w:rFonts w:ascii="黑体" w:eastAsia="黑体" w:cs="黑体"/>
          <w:color w:val="000000"/>
          <w:sz w:val="44"/>
          <w:szCs w:val="44"/>
        </w:rPr>
      </w:pPr>
    </w:p>
    <w:p>
      <w:pPr>
        <w:spacing w:line="700" w:lineRule="exact"/>
        <w:jc w:val="center"/>
        <w:rPr>
          <w:b/>
          <w:bCs/>
          <w:sz w:val="44"/>
        </w:rPr>
      </w:pPr>
    </w:p>
    <w:p>
      <w:pPr>
        <w:spacing w:line="700" w:lineRule="exact"/>
        <w:jc w:val="center"/>
        <w:rPr>
          <w:b/>
          <w:bCs/>
          <w:sz w:val="44"/>
        </w:rPr>
      </w:pPr>
    </w:p>
    <w:p>
      <w:pPr>
        <w:spacing w:line="700" w:lineRule="exact"/>
        <w:jc w:val="center"/>
        <w:rPr>
          <w:b/>
          <w:bCs/>
          <w:sz w:val="44"/>
        </w:rPr>
      </w:pPr>
    </w:p>
    <w:p>
      <w:pPr>
        <w:spacing w:line="700" w:lineRule="exact"/>
        <w:jc w:val="center"/>
        <w:rPr>
          <w:rFonts w:ascii="华文中宋" w:hAnsi="华文中宋" w:eastAsia="华文中宋"/>
          <w:b/>
          <w:bCs/>
          <w:sz w:val="44"/>
        </w:rPr>
      </w:pPr>
      <w:r>
        <w:rPr>
          <w:rFonts w:hint="eastAsia" w:ascii="华文中宋" w:hAnsi="华文中宋" w:eastAsia="华文中宋"/>
          <w:b/>
          <w:bCs/>
          <w:sz w:val="44"/>
        </w:rPr>
        <w:t>提</w:t>
      </w:r>
      <w:r>
        <w:rPr>
          <w:rFonts w:ascii="华文中宋" w:hAnsi="华文中宋" w:eastAsia="华文中宋"/>
          <w:b/>
          <w:bCs/>
          <w:sz w:val="44"/>
        </w:rPr>
        <w:t xml:space="preserve">  </w:t>
      </w:r>
      <w:r>
        <w:rPr>
          <w:rFonts w:hint="eastAsia" w:ascii="华文中宋" w:hAnsi="华文中宋" w:eastAsia="华文中宋"/>
          <w:b/>
          <w:bCs/>
          <w:sz w:val="44"/>
        </w:rPr>
        <w:t>示</w:t>
      </w:r>
    </w:p>
    <w:p>
      <w:pPr>
        <w:spacing w:line="700" w:lineRule="exact"/>
        <w:jc w:val="center"/>
        <w:rPr>
          <w:rFonts w:ascii="??_GB2312" w:eastAsia="Times New Roman"/>
          <w:sz w:val="32"/>
          <w:szCs w:val="32"/>
        </w:rPr>
      </w:pPr>
    </w:p>
    <w:p>
      <w:pPr>
        <w:snapToGrid w:val="0"/>
        <w:spacing w:line="560" w:lineRule="exact"/>
        <w:ind w:firstLine="420" w:firstLineChars="150"/>
        <w:rPr>
          <w:rFonts w:ascii="宋体" w:cs="??_GB2312"/>
          <w:color w:val="000000"/>
          <w:sz w:val="28"/>
          <w:szCs w:val="28"/>
        </w:rPr>
      </w:pPr>
      <w:r>
        <w:rPr>
          <w:rFonts w:hint="eastAsia" w:ascii="宋体" w:hAnsi="宋体" w:cs="??_GB2312"/>
          <w:color w:val="000000"/>
          <w:sz w:val="28"/>
          <w:szCs w:val="28"/>
        </w:rPr>
        <w:t>一、在签署投标文件和投标前，投标人须要阅读过《中华人民共和国政府采购法》、《中华人民共和国政府采购法实施条例》、《中华人民共和国招标投标法》、《中华人民共和国招标投标法实施条例》、《江苏省招标投标条例》等相关法律、法规、部门规章和文件，阅读过本招标文件，并知道享有的权利和承担的义务。</w:t>
      </w:r>
    </w:p>
    <w:p>
      <w:pPr>
        <w:snapToGrid w:val="0"/>
        <w:spacing w:line="560" w:lineRule="exact"/>
        <w:ind w:firstLine="420" w:firstLineChars="150"/>
        <w:rPr>
          <w:rFonts w:ascii="宋体" w:cs="??_GB2312"/>
          <w:color w:val="000000"/>
          <w:sz w:val="28"/>
          <w:szCs w:val="28"/>
        </w:rPr>
      </w:pPr>
      <w:r>
        <w:rPr>
          <w:rFonts w:hint="eastAsia" w:ascii="宋体" w:hAnsi="宋体" w:cs="??_GB2312"/>
          <w:color w:val="000000"/>
          <w:sz w:val="28"/>
          <w:szCs w:val="28"/>
        </w:rPr>
        <w:t>二、投标人必须对其提交文件、证件、资料的真实性、有效性和合法性承担责任。</w:t>
      </w:r>
    </w:p>
    <w:p>
      <w:pPr>
        <w:snapToGrid w:val="0"/>
        <w:spacing w:line="560" w:lineRule="exact"/>
        <w:ind w:firstLine="420" w:firstLineChars="150"/>
        <w:rPr>
          <w:rFonts w:ascii="宋体" w:cs="??_GB2312"/>
          <w:color w:val="000000"/>
          <w:sz w:val="28"/>
          <w:szCs w:val="28"/>
        </w:rPr>
      </w:pPr>
      <w:r>
        <w:rPr>
          <w:rFonts w:hint="eastAsia" w:ascii="宋体" w:hAnsi="宋体" w:cs="??_GB2312"/>
          <w:color w:val="000000"/>
          <w:sz w:val="28"/>
          <w:szCs w:val="28"/>
        </w:rPr>
        <w:t>三、投标人必须按照招标文件的要求详细填写和编制投标文件。</w:t>
      </w:r>
    </w:p>
    <w:p>
      <w:pPr>
        <w:snapToGrid w:val="0"/>
        <w:spacing w:line="560" w:lineRule="exact"/>
        <w:ind w:firstLine="420" w:firstLineChars="150"/>
        <w:rPr>
          <w:rFonts w:ascii="宋体" w:cs="??_GB2312"/>
          <w:color w:val="000000"/>
          <w:sz w:val="28"/>
          <w:szCs w:val="28"/>
        </w:rPr>
      </w:pPr>
      <w:r>
        <w:rPr>
          <w:rFonts w:hint="eastAsia" w:ascii="宋体" w:hAnsi="宋体" w:cs="??_GB2312"/>
          <w:color w:val="000000"/>
          <w:sz w:val="28"/>
          <w:szCs w:val="28"/>
        </w:rPr>
        <w:t>四、招标人将按照本招标文件确定的时间、地点开标。投标人的法定代表人或其委托代理人必须按时参加开标会议并签字确认，否则不作为中标候选单位推荐。上述人员须持证明身份的有效证件以备核查，否则核查不清责任自负。</w:t>
      </w:r>
    </w:p>
    <w:p>
      <w:pPr>
        <w:snapToGrid w:val="0"/>
        <w:spacing w:line="560" w:lineRule="exact"/>
        <w:ind w:firstLine="420" w:firstLineChars="150"/>
        <w:rPr>
          <w:rFonts w:ascii="宋体" w:cs="??_GB2312"/>
          <w:color w:val="000000"/>
          <w:sz w:val="28"/>
          <w:szCs w:val="28"/>
        </w:rPr>
      </w:pPr>
      <w:r>
        <w:rPr>
          <w:rFonts w:hint="eastAsia" w:ascii="宋体" w:hAnsi="宋体" w:cs="??_GB2312"/>
          <w:color w:val="000000"/>
          <w:sz w:val="28"/>
          <w:szCs w:val="28"/>
        </w:rPr>
        <w:t>五、招标人：江苏省盐城技师学院</w:t>
      </w:r>
    </w:p>
    <w:p>
      <w:pPr>
        <w:snapToGrid w:val="0"/>
        <w:spacing w:line="560" w:lineRule="exact"/>
        <w:ind w:firstLine="420" w:firstLineChars="150"/>
        <w:rPr>
          <w:rFonts w:ascii="宋体" w:hAnsi="宋体" w:cs="??_GB2312"/>
          <w:color w:val="000000"/>
          <w:sz w:val="28"/>
          <w:szCs w:val="28"/>
        </w:rPr>
      </w:pPr>
      <w:r>
        <w:rPr>
          <w:rFonts w:hint="eastAsia" w:ascii="宋体" w:hAnsi="宋体" w:cs="??_GB2312"/>
          <w:color w:val="000000"/>
          <w:sz w:val="28"/>
          <w:szCs w:val="28"/>
        </w:rPr>
        <w:t>联系人：杨老师</w:t>
      </w:r>
      <w:r>
        <w:rPr>
          <w:rFonts w:ascii="宋体" w:hAnsi="宋体" w:cs="??_GB2312"/>
          <w:color w:val="000000"/>
          <w:sz w:val="28"/>
          <w:szCs w:val="28"/>
        </w:rPr>
        <w:t>0515—68661002</w:t>
      </w:r>
    </w:p>
    <w:p>
      <w:pPr>
        <w:spacing w:line="700" w:lineRule="exact"/>
        <w:jc w:val="center"/>
        <w:rPr>
          <w:b/>
          <w:bCs/>
          <w:sz w:val="44"/>
        </w:rPr>
      </w:pPr>
    </w:p>
    <w:p>
      <w:pPr>
        <w:spacing w:line="700" w:lineRule="exact"/>
        <w:jc w:val="center"/>
        <w:rPr>
          <w:b/>
          <w:bCs/>
          <w:sz w:val="44"/>
        </w:rPr>
      </w:pPr>
    </w:p>
    <w:p>
      <w:pPr>
        <w:autoSpaceDE w:val="0"/>
        <w:autoSpaceDN w:val="0"/>
        <w:adjustRightInd w:val="0"/>
        <w:spacing w:line="560" w:lineRule="exact"/>
        <w:rPr>
          <w:rFonts w:ascii="宋体" w:hAnsi="Times New Roman" w:cs="宋体"/>
          <w:sz w:val="36"/>
          <w:szCs w:val="36"/>
          <w:lang w:val="zh-CN"/>
        </w:rPr>
      </w:pPr>
    </w:p>
    <w:p>
      <w:pPr>
        <w:autoSpaceDE w:val="0"/>
        <w:autoSpaceDN w:val="0"/>
        <w:adjustRightInd w:val="0"/>
        <w:spacing w:line="560" w:lineRule="exact"/>
        <w:rPr>
          <w:rFonts w:ascii="宋体" w:hAnsi="Times New Roman" w:cs="宋体"/>
          <w:sz w:val="36"/>
          <w:szCs w:val="36"/>
          <w:lang w:val="zh-CN"/>
        </w:rPr>
      </w:pPr>
    </w:p>
    <w:p>
      <w:pPr>
        <w:keepNext/>
        <w:autoSpaceDE w:val="0"/>
        <w:autoSpaceDN w:val="0"/>
        <w:adjustRightInd w:val="0"/>
        <w:spacing w:line="440" w:lineRule="exact"/>
        <w:jc w:val="center"/>
        <w:outlineLvl w:val="0"/>
        <w:rPr>
          <w:rFonts w:ascii="黑体" w:hAnsi="Times New Roman" w:eastAsia="黑体" w:cs="黑体"/>
          <w:b/>
          <w:sz w:val="44"/>
          <w:szCs w:val="44"/>
          <w:lang w:val="zh-CN"/>
        </w:rPr>
      </w:pPr>
      <w:r>
        <w:rPr>
          <w:rFonts w:hint="eastAsia" w:ascii="黑体" w:hAnsi="Times New Roman" w:eastAsia="黑体" w:cs="黑体"/>
          <w:b/>
          <w:sz w:val="44"/>
          <w:szCs w:val="44"/>
          <w:lang w:val="zh-CN"/>
        </w:rPr>
        <w:t>第一章</w:t>
      </w:r>
      <w:r>
        <w:rPr>
          <w:rFonts w:ascii="黑体" w:hAnsi="Times New Roman" w:eastAsia="黑体" w:cs="黑体"/>
          <w:b/>
          <w:sz w:val="44"/>
          <w:szCs w:val="44"/>
          <w:lang w:val="zh-CN"/>
        </w:rPr>
        <w:t xml:space="preserve">  </w:t>
      </w:r>
      <w:r>
        <w:rPr>
          <w:rFonts w:hint="eastAsia" w:ascii="黑体" w:hAnsi="Times New Roman" w:eastAsia="黑体" w:cs="黑体"/>
          <w:b/>
          <w:sz w:val="44"/>
          <w:szCs w:val="44"/>
          <w:lang w:val="zh-CN"/>
        </w:rPr>
        <w:t>招标公告</w:t>
      </w:r>
    </w:p>
    <w:p>
      <w:pPr>
        <w:spacing w:line="56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根据《中华人民共和国招投标法》、《中华人民共和国政府采购法》等法律、法规的规定，现就</w:t>
      </w:r>
      <w:r>
        <w:rPr>
          <w:rFonts w:hint="eastAsia" w:ascii="仿宋_GB2312" w:hAnsi="仿宋_GB2312" w:eastAsia="仿宋_GB2312" w:cs="仿宋_GB2312"/>
          <w:sz w:val="24"/>
          <w:szCs w:val="24"/>
          <w:u w:val="single"/>
        </w:rPr>
        <w:t>海洋路校区校牌制作</w:t>
      </w:r>
      <w:r>
        <w:rPr>
          <w:rFonts w:hint="eastAsia" w:ascii="仿宋_GB2312" w:hAnsi="仿宋_GB2312" w:eastAsia="仿宋_GB2312" w:cs="仿宋_GB2312"/>
          <w:sz w:val="24"/>
          <w:szCs w:val="24"/>
        </w:rPr>
        <w:t>进行</w:t>
      </w:r>
      <w:r>
        <w:rPr>
          <w:rFonts w:hint="eastAsia" w:ascii="仿宋_GB2312" w:hAnsi="仿宋_GB2312" w:eastAsia="仿宋_GB2312" w:cs="仿宋_GB2312"/>
          <w:sz w:val="24"/>
          <w:szCs w:val="24"/>
          <w:u w:val="single"/>
        </w:rPr>
        <w:t>公开招标</w:t>
      </w:r>
      <w:r>
        <w:rPr>
          <w:rFonts w:hint="eastAsia" w:ascii="仿宋_GB2312" w:hAnsi="仿宋_GB2312" w:eastAsia="仿宋_GB2312" w:cs="仿宋_GB2312"/>
          <w:sz w:val="24"/>
          <w:szCs w:val="24"/>
        </w:rPr>
        <w:t>采购，欢迎合格的潜在投标人参加投标。</w:t>
      </w:r>
    </w:p>
    <w:p>
      <w:pPr>
        <w:spacing w:line="560"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一、招标项目</w:t>
      </w:r>
    </w:p>
    <w:p>
      <w:pPr>
        <w:spacing w:line="56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项目名称：海洋路校区校牌制作  </w:t>
      </w:r>
    </w:p>
    <w:p>
      <w:pPr>
        <w:spacing w:line="56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项目编号：院总编：2020-14# </w:t>
      </w:r>
    </w:p>
    <w:p>
      <w:pPr>
        <w:spacing w:line="560"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二、招标项目简要说明及预算金额</w:t>
      </w:r>
    </w:p>
    <w:p>
      <w:pPr>
        <w:spacing w:line="560" w:lineRule="exact"/>
        <w:ind w:firstLine="480" w:firstLineChars="200"/>
        <w:rPr>
          <w:rFonts w:ascii="宋体" w:cs="宋体"/>
          <w:b/>
          <w:bCs/>
        </w:rPr>
      </w:pPr>
      <w:r>
        <w:rPr>
          <w:rFonts w:hint="eastAsia" w:ascii="仿宋_GB2312" w:hAnsi="仿宋_GB2312" w:eastAsia="仿宋_GB2312" w:cs="仿宋_GB2312"/>
          <w:sz w:val="24"/>
          <w:szCs w:val="24"/>
        </w:rPr>
        <w:t>本次招标内容有关项目清单</w:t>
      </w:r>
      <w:r>
        <w:rPr>
          <w:rFonts w:hint="eastAsia" w:ascii="仿宋_GB2312" w:hAnsi="仿宋_GB2312" w:eastAsia="仿宋_GB2312" w:cs="仿宋_GB2312"/>
          <w:sz w:val="24"/>
          <w:szCs w:val="24"/>
          <w:lang w:eastAsia="zh-CN"/>
        </w:rPr>
        <w:t>如下</w:t>
      </w:r>
      <w:r>
        <w:rPr>
          <w:rFonts w:hint="eastAsia" w:ascii="仿宋_GB2312" w:hAnsi="仿宋_GB2312" w:eastAsia="仿宋_GB2312" w:cs="仿宋_GB2312"/>
          <w:sz w:val="24"/>
          <w:szCs w:val="24"/>
        </w:rPr>
        <w:t>；</w:t>
      </w:r>
    </w:p>
    <w:tbl>
      <w:tblPr>
        <w:tblStyle w:val="16"/>
        <w:tblW w:w="5249" w:type="pct"/>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709"/>
        <w:gridCol w:w="5530"/>
        <w:gridCol w:w="709"/>
        <w:gridCol w:w="709"/>
        <w:gridCol w:w="781"/>
        <w:gridCol w:w="865"/>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85" w:hRule="exact"/>
          <w:jc w:val="center"/>
        </w:trPr>
        <w:tc>
          <w:tcPr>
            <w:tcW w:w="381" w:type="pct"/>
            <w:tcBorders>
              <w:top w:val="single" w:color="000000" w:sz="8" w:space="0"/>
            </w:tcBorders>
            <w:vAlign w:val="center"/>
          </w:tcPr>
          <w:p>
            <w:pPr>
              <w:ind w:left="1154" w:hanging="1154" w:hangingChars="481"/>
              <w:jc w:val="center"/>
              <w:rPr>
                <w:rFonts w:ascii="Times New Roman" w:hAnsi="Times New Roman" w:eastAsia="黑体"/>
                <w:kern w:val="1"/>
                <w:sz w:val="24"/>
                <w:szCs w:val="24"/>
              </w:rPr>
            </w:pPr>
            <w:r>
              <w:rPr>
                <w:rFonts w:hint="eastAsia" w:ascii="Times New Roman" w:hAnsi="黑体" w:eastAsia="黑体"/>
                <w:kern w:val="1"/>
                <w:sz w:val="24"/>
                <w:szCs w:val="24"/>
              </w:rPr>
              <w:t>序号</w:t>
            </w:r>
          </w:p>
        </w:tc>
        <w:tc>
          <w:tcPr>
            <w:tcW w:w="2972" w:type="pct"/>
            <w:tcBorders>
              <w:top w:val="single" w:color="000000" w:sz="8" w:space="0"/>
            </w:tcBorders>
            <w:vAlign w:val="center"/>
          </w:tcPr>
          <w:p>
            <w:pPr>
              <w:jc w:val="center"/>
              <w:rPr>
                <w:rFonts w:ascii="Times New Roman" w:hAnsi="Times New Roman" w:eastAsia="黑体"/>
                <w:spacing w:val="20"/>
                <w:kern w:val="1"/>
                <w:sz w:val="28"/>
                <w:szCs w:val="28"/>
              </w:rPr>
            </w:pPr>
            <w:r>
              <w:rPr>
                <w:rFonts w:hint="eastAsia" w:ascii="Times New Roman" w:hAnsi="黑体" w:eastAsia="黑体"/>
                <w:spacing w:val="16"/>
                <w:kern w:val="1"/>
                <w:sz w:val="28"/>
                <w:szCs w:val="28"/>
              </w:rPr>
              <w:t>工</w:t>
            </w:r>
            <w:r>
              <w:rPr>
                <w:rFonts w:ascii="Times New Roman" w:hAnsi="Times New Roman" w:eastAsia="黑体"/>
                <w:spacing w:val="20"/>
                <w:kern w:val="1"/>
                <w:sz w:val="28"/>
                <w:szCs w:val="28"/>
              </w:rPr>
              <w:t xml:space="preserve"> </w:t>
            </w:r>
            <w:r>
              <w:rPr>
                <w:rFonts w:hint="eastAsia" w:ascii="Times New Roman" w:hAnsi="黑体" w:eastAsia="黑体"/>
                <w:spacing w:val="16"/>
                <w:kern w:val="1"/>
                <w:sz w:val="28"/>
                <w:szCs w:val="28"/>
              </w:rPr>
              <w:t>程</w:t>
            </w:r>
            <w:r>
              <w:rPr>
                <w:rFonts w:ascii="Times New Roman" w:hAnsi="Times New Roman" w:eastAsia="黑体"/>
                <w:spacing w:val="20"/>
                <w:kern w:val="1"/>
                <w:sz w:val="28"/>
                <w:szCs w:val="28"/>
              </w:rPr>
              <w:t xml:space="preserve"> </w:t>
            </w:r>
            <w:r>
              <w:rPr>
                <w:rFonts w:hint="eastAsia" w:ascii="Times New Roman" w:hAnsi="黑体" w:eastAsia="黑体"/>
                <w:spacing w:val="16"/>
                <w:kern w:val="1"/>
                <w:sz w:val="28"/>
                <w:szCs w:val="28"/>
              </w:rPr>
              <w:t>详</w:t>
            </w:r>
            <w:r>
              <w:rPr>
                <w:rFonts w:ascii="Times New Roman" w:hAnsi="Times New Roman" w:eastAsia="黑体"/>
                <w:spacing w:val="20"/>
                <w:kern w:val="1"/>
                <w:sz w:val="28"/>
                <w:szCs w:val="28"/>
              </w:rPr>
              <w:t xml:space="preserve"> </w:t>
            </w:r>
            <w:r>
              <w:rPr>
                <w:rFonts w:hint="eastAsia" w:ascii="Times New Roman" w:hAnsi="黑体" w:eastAsia="黑体"/>
                <w:spacing w:val="16"/>
                <w:kern w:val="1"/>
                <w:sz w:val="28"/>
                <w:szCs w:val="28"/>
              </w:rPr>
              <w:t>细</w:t>
            </w:r>
            <w:r>
              <w:rPr>
                <w:rFonts w:ascii="Times New Roman" w:hAnsi="Times New Roman" w:eastAsia="黑体"/>
                <w:spacing w:val="20"/>
                <w:kern w:val="1"/>
                <w:sz w:val="28"/>
                <w:szCs w:val="28"/>
              </w:rPr>
              <w:t xml:space="preserve"> </w:t>
            </w:r>
            <w:r>
              <w:rPr>
                <w:rFonts w:hint="eastAsia" w:ascii="Times New Roman" w:hAnsi="黑体" w:eastAsia="黑体"/>
                <w:spacing w:val="16"/>
                <w:kern w:val="1"/>
                <w:sz w:val="28"/>
                <w:szCs w:val="28"/>
              </w:rPr>
              <w:t>内</w:t>
            </w:r>
            <w:r>
              <w:rPr>
                <w:rFonts w:ascii="Times New Roman" w:hAnsi="Times New Roman" w:eastAsia="黑体"/>
                <w:spacing w:val="20"/>
                <w:kern w:val="1"/>
                <w:sz w:val="28"/>
                <w:szCs w:val="28"/>
              </w:rPr>
              <w:t xml:space="preserve"> </w:t>
            </w:r>
            <w:r>
              <w:rPr>
                <w:rFonts w:hint="eastAsia" w:ascii="Times New Roman" w:hAnsi="黑体" w:eastAsia="黑体"/>
                <w:spacing w:val="16"/>
                <w:kern w:val="1"/>
                <w:sz w:val="28"/>
                <w:szCs w:val="28"/>
              </w:rPr>
              <w:t>容</w:t>
            </w:r>
          </w:p>
        </w:tc>
        <w:tc>
          <w:tcPr>
            <w:tcW w:w="381" w:type="pct"/>
            <w:tcBorders>
              <w:top w:val="single" w:color="000000" w:sz="8" w:space="0"/>
            </w:tcBorders>
            <w:vAlign w:val="center"/>
          </w:tcPr>
          <w:p>
            <w:pPr>
              <w:jc w:val="center"/>
              <w:rPr>
                <w:rFonts w:ascii="Times New Roman" w:hAnsi="黑体" w:eastAsia="黑体"/>
                <w:kern w:val="1"/>
                <w:sz w:val="24"/>
                <w:szCs w:val="24"/>
              </w:rPr>
            </w:pPr>
            <w:r>
              <w:rPr>
                <w:rFonts w:hint="eastAsia" w:ascii="Times New Roman" w:hAnsi="黑体" w:eastAsia="黑体"/>
                <w:kern w:val="1"/>
                <w:sz w:val="24"/>
                <w:szCs w:val="24"/>
              </w:rPr>
              <w:t>单位</w:t>
            </w:r>
          </w:p>
        </w:tc>
        <w:tc>
          <w:tcPr>
            <w:tcW w:w="381" w:type="pct"/>
            <w:tcBorders>
              <w:top w:val="single" w:color="000000" w:sz="8" w:space="0"/>
            </w:tcBorders>
            <w:vAlign w:val="center"/>
          </w:tcPr>
          <w:p>
            <w:pPr>
              <w:jc w:val="center"/>
              <w:rPr>
                <w:rFonts w:ascii="Times New Roman" w:hAnsi="黑体" w:eastAsia="黑体"/>
                <w:kern w:val="1"/>
                <w:sz w:val="24"/>
                <w:szCs w:val="24"/>
              </w:rPr>
            </w:pPr>
            <w:r>
              <w:rPr>
                <w:rFonts w:hint="eastAsia" w:ascii="Times New Roman" w:hAnsi="黑体" w:eastAsia="黑体"/>
                <w:kern w:val="1"/>
                <w:sz w:val="24"/>
                <w:szCs w:val="24"/>
              </w:rPr>
              <w:t>数量</w:t>
            </w:r>
          </w:p>
        </w:tc>
        <w:tc>
          <w:tcPr>
            <w:tcW w:w="420" w:type="pct"/>
            <w:tcBorders>
              <w:top w:val="single" w:color="000000" w:sz="8" w:space="0"/>
            </w:tcBorders>
            <w:vAlign w:val="center"/>
          </w:tcPr>
          <w:p>
            <w:pPr>
              <w:jc w:val="center"/>
              <w:rPr>
                <w:rFonts w:ascii="Times New Roman" w:hAnsi="黑体" w:eastAsia="黑体"/>
                <w:kern w:val="1"/>
                <w:sz w:val="24"/>
                <w:szCs w:val="24"/>
              </w:rPr>
            </w:pPr>
            <w:r>
              <w:rPr>
                <w:rFonts w:hint="eastAsia" w:ascii="Times New Roman" w:hAnsi="黑体" w:eastAsia="黑体"/>
                <w:kern w:val="1"/>
                <w:sz w:val="24"/>
                <w:szCs w:val="24"/>
              </w:rPr>
              <w:t>单价</w:t>
            </w:r>
          </w:p>
        </w:tc>
        <w:tc>
          <w:tcPr>
            <w:tcW w:w="466" w:type="pct"/>
            <w:tcBorders>
              <w:top w:val="single" w:color="000000" w:sz="8" w:space="0"/>
            </w:tcBorders>
            <w:vAlign w:val="center"/>
          </w:tcPr>
          <w:p>
            <w:pPr>
              <w:jc w:val="center"/>
              <w:rPr>
                <w:rFonts w:ascii="Times New Roman" w:hAnsi="黑体" w:eastAsia="黑体"/>
                <w:kern w:val="1"/>
                <w:sz w:val="24"/>
                <w:szCs w:val="24"/>
              </w:rPr>
            </w:pPr>
            <w:r>
              <w:rPr>
                <w:rFonts w:hint="eastAsia" w:ascii="Times New Roman" w:hAnsi="黑体" w:eastAsia="黑体"/>
                <w:kern w:val="1"/>
                <w:sz w:val="24"/>
                <w:szCs w:val="24"/>
              </w:rPr>
              <w:t>金额（元）</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30" w:hRule="atLeast"/>
          <w:jc w:val="center"/>
        </w:trPr>
        <w:tc>
          <w:tcPr>
            <w:tcW w:w="381" w:type="pct"/>
            <w:vAlign w:val="center"/>
          </w:tcPr>
          <w:p>
            <w:pPr>
              <w:jc w:val="center"/>
              <w:rPr>
                <w:rFonts w:ascii="Times New Roman" w:hAnsi="Times New Roman"/>
                <w:kern w:val="1"/>
                <w:sz w:val="24"/>
              </w:rPr>
            </w:pPr>
            <w:r>
              <w:rPr>
                <w:rFonts w:ascii="Times New Roman" w:hAnsi="Times New Roman"/>
                <w:kern w:val="1"/>
                <w:sz w:val="24"/>
              </w:rPr>
              <w:t>1</w:t>
            </w:r>
          </w:p>
        </w:tc>
        <w:tc>
          <w:tcPr>
            <w:tcW w:w="2972" w:type="pct"/>
            <w:vAlign w:val="center"/>
          </w:tcPr>
          <w:p>
            <w:pPr>
              <w:rPr>
                <w:rFonts w:ascii="Times New Roman" w:hAnsi="宋体"/>
                <w:kern w:val="1"/>
                <w:sz w:val="24"/>
              </w:rPr>
            </w:pPr>
            <w:r>
              <w:rPr>
                <w:rFonts w:hint="eastAsia" w:ascii="Times New Roman" w:hAnsi="宋体"/>
                <w:kern w:val="1"/>
                <w:sz w:val="24"/>
              </w:rPr>
              <w:t>江苏省盐城技师学院校牌，东、南门校名立体字（精品仿古立体字）</w:t>
            </w:r>
          </w:p>
        </w:tc>
        <w:tc>
          <w:tcPr>
            <w:tcW w:w="381" w:type="pct"/>
            <w:vAlign w:val="center"/>
          </w:tcPr>
          <w:p>
            <w:pPr>
              <w:jc w:val="center"/>
              <w:rPr>
                <w:rFonts w:ascii="Times New Roman" w:hAnsi="Times New Roman"/>
                <w:kern w:val="1"/>
                <w:sz w:val="24"/>
              </w:rPr>
            </w:pPr>
            <w:r>
              <w:rPr>
                <w:rFonts w:hint="eastAsia" w:ascii="Times New Roman" w:hAnsi="宋体"/>
                <w:kern w:val="1"/>
                <w:sz w:val="24"/>
              </w:rPr>
              <w:t>套</w:t>
            </w:r>
          </w:p>
        </w:tc>
        <w:tc>
          <w:tcPr>
            <w:tcW w:w="381" w:type="pct"/>
            <w:vAlign w:val="center"/>
          </w:tcPr>
          <w:p>
            <w:pPr>
              <w:jc w:val="center"/>
              <w:rPr>
                <w:rFonts w:ascii="Times New Roman" w:hAnsi="Times New Roman"/>
                <w:kern w:val="1"/>
                <w:sz w:val="24"/>
              </w:rPr>
            </w:pPr>
            <w:r>
              <w:rPr>
                <w:rFonts w:ascii="Times New Roman" w:hAnsi="Times New Roman"/>
                <w:kern w:val="1"/>
                <w:sz w:val="24"/>
              </w:rPr>
              <w:t>2</w:t>
            </w:r>
          </w:p>
        </w:tc>
        <w:tc>
          <w:tcPr>
            <w:tcW w:w="420" w:type="pct"/>
            <w:vAlign w:val="center"/>
          </w:tcPr>
          <w:p>
            <w:pPr>
              <w:jc w:val="center"/>
              <w:rPr>
                <w:rFonts w:ascii="Times New Roman" w:hAnsi="Times New Roman"/>
                <w:kern w:val="1"/>
                <w:sz w:val="24"/>
              </w:rPr>
            </w:pPr>
          </w:p>
        </w:tc>
        <w:tc>
          <w:tcPr>
            <w:tcW w:w="466" w:type="pct"/>
            <w:vAlign w:val="center"/>
          </w:tcPr>
          <w:p>
            <w:pPr>
              <w:jc w:val="center"/>
              <w:rPr>
                <w:rFonts w:ascii="Times New Roman" w:hAns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91" w:hRule="exact"/>
          <w:jc w:val="center"/>
        </w:trPr>
        <w:tc>
          <w:tcPr>
            <w:tcW w:w="381" w:type="pct"/>
            <w:vAlign w:val="center"/>
          </w:tcPr>
          <w:p>
            <w:pPr>
              <w:jc w:val="center"/>
              <w:rPr>
                <w:rFonts w:ascii="Times New Roman" w:hAnsi="Times New Roman"/>
                <w:kern w:val="1"/>
                <w:sz w:val="24"/>
              </w:rPr>
            </w:pPr>
            <w:r>
              <w:rPr>
                <w:rFonts w:ascii="Times New Roman" w:hAnsi="Times New Roman"/>
                <w:kern w:val="1"/>
                <w:sz w:val="24"/>
              </w:rPr>
              <w:t>2</w:t>
            </w:r>
          </w:p>
        </w:tc>
        <w:tc>
          <w:tcPr>
            <w:tcW w:w="2972" w:type="pct"/>
            <w:vAlign w:val="center"/>
          </w:tcPr>
          <w:p>
            <w:pPr>
              <w:rPr>
                <w:rFonts w:ascii="Times New Roman" w:hAnsi="宋体"/>
                <w:kern w:val="1"/>
                <w:sz w:val="24"/>
              </w:rPr>
            </w:pPr>
            <w:r>
              <w:rPr>
                <w:rFonts w:hint="eastAsia" w:ascii="Times New Roman" w:hAnsi="宋体"/>
                <w:kern w:val="1"/>
                <w:sz w:val="24"/>
              </w:rPr>
              <w:t>东、南门标牌（</w:t>
            </w:r>
            <w:r>
              <w:rPr>
                <w:rFonts w:ascii="Times New Roman" w:hAnsi="宋体"/>
                <w:kern w:val="1"/>
                <w:sz w:val="24"/>
              </w:rPr>
              <w:t>304</w:t>
            </w:r>
            <w:r>
              <w:rPr>
                <w:rFonts w:hint="eastAsia" w:ascii="Times New Roman" w:hAnsi="宋体"/>
                <w:kern w:val="1"/>
                <w:sz w:val="24"/>
              </w:rPr>
              <w:t>拉丝不锈钢），盐城交通技师学院、全国高技能人才示范基地各两块</w:t>
            </w:r>
          </w:p>
          <w:p>
            <w:pPr>
              <w:pStyle w:val="2"/>
              <w:ind w:firstLine="240"/>
            </w:pPr>
            <w:r>
              <w:rPr>
                <w:rFonts w:hint="eastAsia" w:ascii="Times New Roman" w:hAnsi="宋体"/>
                <w:kern w:val="1"/>
                <w:sz w:val="24"/>
              </w:rPr>
              <w:t>文港中路校区标牌（盐城交通技师学院）1块</w:t>
            </w:r>
          </w:p>
        </w:tc>
        <w:tc>
          <w:tcPr>
            <w:tcW w:w="381" w:type="pct"/>
            <w:vAlign w:val="center"/>
          </w:tcPr>
          <w:p>
            <w:pPr>
              <w:jc w:val="center"/>
              <w:rPr>
                <w:rFonts w:ascii="Times New Roman" w:hAnsi="Times New Roman"/>
                <w:kern w:val="1"/>
                <w:sz w:val="24"/>
              </w:rPr>
            </w:pPr>
            <w:r>
              <w:rPr>
                <w:rFonts w:hint="eastAsia" w:ascii="Times New Roman" w:hAnsi="宋体"/>
                <w:kern w:val="1"/>
                <w:sz w:val="24"/>
              </w:rPr>
              <w:t>块</w:t>
            </w:r>
          </w:p>
        </w:tc>
        <w:tc>
          <w:tcPr>
            <w:tcW w:w="381" w:type="pct"/>
            <w:vAlign w:val="center"/>
          </w:tcPr>
          <w:p>
            <w:pPr>
              <w:jc w:val="center"/>
              <w:rPr>
                <w:rFonts w:ascii="Times New Roman" w:hAnsi="Times New Roman"/>
                <w:kern w:val="1"/>
                <w:sz w:val="24"/>
              </w:rPr>
            </w:pPr>
            <w:r>
              <w:rPr>
                <w:rFonts w:hint="eastAsia" w:ascii="Times New Roman" w:hAnsi="Times New Roman"/>
                <w:kern w:val="1"/>
                <w:sz w:val="24"/>
              </w:rPr>
              <w:t>5</w:t>
            </w:r>
          </w:p>
        </w:tc>
        <w:tc>
          <w:tcPr>
            <w:tcW w:w="420" w:type="pct"/>
            <w:vAlign w:val="center"/>
          </w:tcPr>
          <w:p>
            <w:pPr>
              <w:jc w:val="center"/>
              <w:rPr>
                <w:rFonts w:ascii="Times New Roman" w:hAnsi="Times New Roman"/>
                <w:kern w:val="1"/>
                <w:sz w:val="24"/>
              </w:rPr>
            </w:pPr>
          </w:p>
        </w:tc>
        <w:tc>
          <w:tcPr>
            <w:tcW w:w="466" w:type="pct"/>
            <w:vAlign w:val="center"/>
          </w:tcPr>
          <w:p>
            <w:pPr>
              <w:jc w:val="center"/>
              <w:rPr>
                <w:rFonts w:ascii="Times New Roman" w:hAns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96" w:hRule="exact"/>
          <w:jc w:val="center"/>
        </w:trPr>
        <w:tc>
          <w:tcPr>
            <w:tcW w:w="381" w:type="pct"/>
            <w:vAlign w:val="center"/>
          </w:tcPr>
          <w:p>
            <w:pPr>
              <w:jc w:val="center"/>
              <w:rPr>
                <w:rFonts w:ascii="Times New Roman" w:hAnsi="Times New Roman"/>
                <w:kern w:val="1"/>
                <w:sz w:val="24"/>
              </w:rPr>
            </w:pPr>
            <w:r>
              <w:rPr>
                <w:rFonts w:ascii="Times New Roman" w:hAnsi="Times New Roman"/>
                <w:kern w:val="1"/>
                <w:sz w:val="24"/>
              </w:rPr>
              <w:t>3</w:t>
            </w:r>
          </w:p>
        </w:tc>
        <w:tc>
          <w:tcPr>
            <w:tcW w:w="2972" w:type="pct"/>
            <w:vAlign w:val="center"/>
          </w:tcPr>
          <w:p>
            <w:pPr>
              <w:rPr>
                <w:rFonts w:ascii="Times New Roman" w:hAnsi="宋体"/>
                <w:kern w:val="1"/>
                <w:sz w:val="24"/>
              </w:rPr>
            </w:pPr>
            <w:r>
              <w:rPr>
                <w:rFonts w:hint="eastAsia" w:ascii="Times New Roman" w:hAnsi="宋体"/>
                <w:kern w:val="1"/>
                <w:sz w:val="24"/>
              </w:rPr>
              <w:t>灯具（</w:t>
            </w:r>
            <w:r>
              <w:rPr>
                <w:rFonts w:ascii="Times New Roman" w:hAnsi="宋体"/>
                <w:kern w:val="1"/>
                <w:sz w:val="24"/>
              </w:rPr>
              <w:t>LED</w:t>
            </w:r>
            <w:r>
              <w:rPr>
                <w:rFonts w:hint="eastAsia" w:ascii="Times New Roman" w:hAnsi="宋体"/>
                <w:kern w:val="1"/>
                <w:sz w:val="24"/>
              </w:rPr>
              <w:t>洗墙灯</w:t>
            </w:r>
            <w:r>
              <w:rPr>
                <w:rFonts w:ascii="Times New Roman" w:hAnsi="宋体"/>
                <w:kern w:val="1"/>
                <w:sz w:val="24"/>
              </w:rPr>
              <w:t>28</w:t>
            </w:r>
            <w:r>
              <w:rPr>
                <w:rFonts w:hint="eastAsia" w:ascii="Times New Roman" w:hAnsi="宋体"/>
                <w:kern w:val="1"/>
                <w:sz w:val="24"/>
              </w:rPr>
              <w:t>米、北门通道顶灯</w:t>
            </w:r>
            <w:r>
              <w:rPr>
                <w:rFonts w:ascii="Times New Roman" w:hAnsi="宋体"/>
                <w:kern w:val="1"/>
                <w:sz w:val="24"/>
              </w:rPr>
              <w:t>4</w:t>
            </w:r>
            <w:r>
              <w:rPr>
                <w:rFonts w:hint="eastAsia" w:ascii="Times New Roman" w:hAnsi="宋体"/>
                <w:kern w:val="1"/>
                <w:sz w:val="24"/>
              </w:rPr>
              <w:t>套）</w:t>
            </w:r>
          </w:p>
        </w:tc>
        <w:tc>
          <w:tcPr>
            <w:tcW w:w="381" w:type="pct"/>
            <w:vAlign w:val="center"/>
          </w:tcPr>
          <w:p>
            <w:pPr>
              <w:jc w:val="center"/>
              <w:rPr>
                <w:rFonts w:ascii="Times New Roman" w:hAnsi="Times New Roman"/>
                <w:kern w:val="1"/>
                <w:sz w:val="24"/>
              </w:rPr>
            </w:pPr>
            <w:r>
              <w:rPr>
                <w:rFonts w:hint="eastAsia" w:ascii="Times New Roman" w:hAnsi="宋体"/>
                <w:kern w:val="1"/>
                <w:sz w:val="24"/>
              </w:rPr>
              <w:t>套</w:t>
            </w:r>
          </w:p>
        </w:tc>
        <w:tc>
          <w:tcPr>
            <w:tcW w:w="381" w:type="pct"/>
            <w:vAlign w:val="center"/>
          </w:tcPr>
          <w:p>
            <w:pPr>
              <w:jc w:val="center"/>
              <w:rPr>
                <w:rFonts w:ascii="Times New Roman" w:hAnsi="Times New Roman"/>
                <w:kern w:val="1"/>
                <w:sz w:val="24"/>
              </w:rPr>
            </w:pPr>
            <w:r>
              <w:rPr>
                <w:rFonts w:ascii="Times New Roman" w:hAnsi="Times New Roman"/>
                <w:kern w:val="1"/>
                <w:sz w:val="24"/>
              </w:rPr>
              <w:t>1</w:t>
            </w:r>
          </w:p>
        </w:tc>
        <w:tc>
          <w:tcPr>
            <w:tcW w:w="420" w:type="pct"/>
            <w:vAlign w:val="center"/>
          </w:tcPr>
          <w:p>
            <w:pPr>
              <w:jc w:val="center"/>
              <w:rPr>
                <w:rFonts w:ascii="Times New Roman" w:hAnsi="Times New Roman"/>
                <w:kern w:val="1"/>
                <w:sz w:val="24"/>
              </w:rPr>
            </w:pPr>
          </w:p>
        </w:tc>
        <w:tc>
          <w:tcPr>
            <w:tcW w:w="466" w:type="pct"/>
            <w:vAlign w:val="center"/>
          </w:tcPr>
          <w:p>
            <w:pPr>
              <w:jc w:val="center"/>
              <w:rPr>
                <w:rFonts w:ascii="Times New Roman" w:hAns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525" w:hRule="atLeast"/>
          <w:jc w:val="center"/>
        </w:trPr>
        <w:tc>
          <w:tcPr>
            <w:tcW w:w="381" w:type="pct"/>
            <w:vAlign w:val="center"/>
          </w:tcPr>
          <w:p>
            <w:pPr>
              <w:jc w:val="center"/>
              <w:rPr>
                <w:rFonts w:ascii="Times New Roman" w:hAnsi="Times New Roman"/>
                <w:kern w:val="1"/>
                <w:sz w:val="24"/>
              </w:rPr>
            </w:pPr>
            <w:r>
              <w:rPr>
                <w:rFonts w:ascii="Times New Roman" w:hAnsi="Times New Roman"/>
                <w:kern w:val="1"/>
                <w:sz w:val="24"/>
              </w:rPr>
              <w:t>4</w:t>
            </w:r>
          </w:p>
        </w:tc>
        <w:tc>
          <w:tcPr>
            <w:tcW w:w="2972" w:type="pct"/>
            <w:vAlign w:val="center"/>
          </w:tcPr>
          <w:p>
            <w:pPr>
              <w:rPr>
                <w:rFonts w:ascii="Times New Roman" w:hAnsi="宋体"/>
                <w:kern w:val="1"/>
                <w:sz w:val="24"/>
              </w:rPr>
            </w:pPr>
            <w:r>
              <w:rPr>
                <w:rFonts w:hint="eastAsia" w:ascii="Times New Roman" w:hAnsi="宋体"/>
                <w:kern w:val="1"/>
                <w:sz w:val="24"/>
              </w:rPr>
              <w:t>北门门头（</w:t>
            </w:r>
            <w:r>
              <w:rPr>
                <w:rFonts w:ascii="Times New Roman" w:hAnsi="宋体"/>
                <w:kern w:val="1"/>
                <w:sz w:val="24"/>
              </w:rPr>
              <w:t>40*40*3</w:t>
            </w:r>
            <w:r>
              <w:rPr>
                <w:rFonts w:hint="eastAsia" w:ascii="Times New Roman" w:hAnsi="宋体"/>
                <w:kern w:val="1"/>
                <w:sz w:val="24"/>
              </w:rPr>
              <w:t>热镀锌方管钢架、外挂</w:t>
            </w:r>
            <w:r>
              <w:rPr>
                <w:rFonts w:ascii="Times New Roman" w:hAnsi="宋体"/>
                <w:kern w:val="1"/>
                <w:sz w:val="24"/>
              </w:rPr>
              <w:t>2.5</w:t>
            </w:r>
            <w:r>
              <w:rPr>
                <w:rFonts w:hint="eastAsia" w:ascii="Times New Roman" w:hAnsi="宋体"/>
                <w:kern w:val="1"/>
                <w:sz w:val="24"/>
              </w:rPr>
              <w:t>厚铝板、烤蓝色干挂，</w:t>
            </w:r>
            <w:r>
              <w:rPr>
                <w:rFonts w:ascii="Times New Roman" w:hAnsi="宋体"/>
                <w:kern w:val="1"/>
                <w:sz w:val="24"/>
              </w:rPr>
              <w:t>8mm</w:t>
            </w:r>
            <w:r>
              <w:rPr>
                <w:rFonts w:hint="eastAsia" w:ascii="Times New Roman" w:hAnsi="宋体"/>
                <w:kern w:val="1"/>
                <w:sz w:val="24"/>
              </w:rPr>
              <w:t>厚硅酸钙板基层，真石漆饰面、外贴主题内容（如图），精品金属发光字，</w:t>
            </w:r>
            <w:r>
              <w:rPr>
                <w:rFonts w:ascii="Times New Roman" w:hAnsi="宋体"/>
                <w:kern w:val="1"/>
                <w:sz w:val="24"/>
              </w:rPr>
              <w:t>C</w:t>
            </w:r>
            <w:r>
              <w:rPr>
                <w:rFonts w:hint="eastAsia" w:ascii="Times New Roman" w:hAnsi="宋体"/>
                <w:kern w:val="1"/>
                <w:sz w:val="24"/>
              </w:rPr>
              <w:t>型</w:t>
            </w:r>
            <w:r>
              <w:rPr>
                <w:rFonts w:ascii="Times New Roman" w:hAnsi="宋体"/>
                <w:kern w:val="1"/>
                <w:sz w:val="24"/>
              </w:rPr>
              <w:t>3</w:t>
            </w:r>
            <w:r>
              <w:rPr>
                <w:rFonts w:hint="eastAsia" w:ascii="Times New Roman" w:hAnsi="宋体"/>
                <w:kern w:val="1"/>
                <w:sz w:val="24"/>
              </w:rPr>
              <w:t>面）</w:t>
            </w:r>
          </w:p>
        </w:tc>
        <w:tc>
          <w:tcPr>
            <w:tcW w:w="381" w:type="pct"/>
            <w:vAlign w:val="center"/>
          </w:tcPr>
          <w:p>
            <w:pPr>
              <w:jc w:val="center"/>
              <w:rPr>
                <w:rFonts w:ascii="Times New Roman" w:hAnsi="Times New Roman"/>
                <w:kern w:val="1"/>
                <w:sz w:val="24"/>
              </w:rPr>
            </w:pPr>
            <w:r>
              <w:rPr>
                <w:rFonts w:hint="eastAsia" w:ascii="Times New Roman" w:hAnsi="宋体"/>
                <w:kern w:val="1"/>
                <w:sz w:val="24"/>
              </w:rPr>
              <w:t>项</w:t>
            </w:r>
          </w:p>
        </w:tc>
        <w:tc>
          <w:tcPr>
            <w:tcW w:w="381" w:type="pct"/>
            <w:vAlign w:val="center"/>
          </w:tcPr>
          <w:p>
            <w:pPr>
              <w:jc w:val="center"/>
              <w:rPr>
                <w:rFonts w:ascii="Times New Roman" w:hAnsi="Times New Roman"/>
                <w:kern w:val="1"/>
                <w:sz w:val="24"/>
              </w:rPr>
            </w:pPr>
            <w:r>
              <w:rPr>
                <w:rFonts w:ascii="Times New Roman" w:hAnsi="Times New Roman"/>
                <w:kern w:val="1"/>
                <w:sz w:val="24"/>
              </w:rPr>
              <w:t>1</w:t>
            </w:r>
          </w:p>
        </w:tc>
        <w:tc>
          <w:tcPr>
            <w:tcW w:w="420" w:type="pct"/>
            <w:vAlign w:val="center"/>
          </w:tcPr>
          <w:p>
            <w:pPr>
              <w:jc w:val="center"/>
              <w:rPr>
                <w:rFonts w:ascii="Times New Roman" w:hAnsi="Times New Roman"/>
                <w:kern w:val="1"/>
                <w:sz w:val="24"/>
              </w:rPr>
            </w:pPr>
          </w:p>
        </w:tc>
        <w:tc>
          <w:tcPr>
            <w:tcW w:w="466" w:type="pct"/>
            <w:vAlign w:val="center"/>
          </w:tcPr>
          <w:p>
            <w:pPr>
              <w:jc w:val="center"/>
              <w:rPr>
                <w:rFonts w:ascii="Times New Roman" w:hAns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381" w:type="pct"/>
            <w:vAlign w:val="center"/>
          </w:tcPr>
          <w:p>
            <w:pPr>
              <w:jc w:val="center"/>
              <w:rPr>
                <w:rFonts w:ascii="Times New Roman" w:hAnsi="Times New Roman"/>
                <w:kern w:val="1"/>
                <w:sz w:val="24"/>
              </w:rPr>
            </w:pPr>
            <w:r>
              <w:rPr>
                <w:rFonts w:ascii="Times New Roman" w:hAnsi="Times New Roman"/>
                <w:kern w:val="1"/>
                <w:sz w:val="24"/>
              </w:rPr>
              <w:t>5</w:t>
            </w:r>
          </w:p>
        </w:tc>
        <w:tc>
          <w:tcPr>
            <w:tcW w:w="2972" w:type="pct"/>
            <w:vAlign w:val="center"/>
          </w:tcPr>
          <w:p>
            <w:pPr>
              <w:rPr>
                <w:rFonts w:ascii="Times New Roman" w:hAnsi="宋体"/>
                <w:kern w:val="1"/>
                <w:sz w:val="24"/>
              </w:rPr>
            </w:pPr>
            <w:r>
              <w:rPr>
                <w:rFonts w:hint="eastAsia" w:ascii="Times New Roman" w:hAnsi="宋体"/>
                <w:kern w:val="1"/>
                <w:sz w:val="24"/>
              </w:rPr>
              <w:t>墙体真石漆、涂料出新、基层找补（南北东向三面）</w:t>
            </w:r>
          </w:p>
        </w:tc>
        <w:tc>
          <w:tcPr>
            <w:tcW w:w="381" w:type="pct"/>
            <w:vAlign w:val="center"/>
          </w:tcPr>
          <w:p>
            <w:pPr>
              <w:jc w:val="center"/>
              <w:rPr>
                <w:rFonts w:ascii="Times New Roman" w:hAnsi="Times New Roman"/>
                <w:kern w:val="1"/>
                <w:sz w:val="24"/>
              </w:rPr>
            </w:pPr>
            <w:r>
              <w:rPr>
                <w:rFonts w:hint="eastAsia" w:ascii="Times New Roman" w:hAnsi="宋体"/>
                <w:kern w:val="1"/>
                <w:sz w:val="24"/>
              </w:rPr>
              <w:t>项</w:t>
            </w:r>
          </w:p>
        </w:tc>
        <w:tc>
          <w:tcPr>
            <w:tcW w:w="381" w:type="pct"/>
            <w:vAlign w:val="center"/>
          </w:tcPr>
          <w:p>
            <w:pPr>
              <w:jc w:val="center"/>
              <w:rPr>
                <w:rFonts w:ascii="Times New Roman" w:hAnsi="Times New Roman"/>
                <w:kern w:val="1"/>
                <w:sz w:val="24"/>
              </w:rPr>
            </w:pPr>
            <w:r>
              <w:rPr>
                <w:rFonts w:ascii="Times New Roman" w:hAnsi="Times New Roman"/>
                <w:kern w:val="1"/>
                <w:sz w:val="24"/>
              </w:rPr>
              <w:t>1</w:t>
            </w:r>
          </w:p>
        </w:tc>
        <w:tc>
          <w:tcPr>
            <w:tcW w:w="420" w:type="pct"/>
          </w:tcPr>
          <w:p>
            <w:pPr>
              <w:spacing w:line="400" w:lineRule="exact"/>
              <w:jc w:val="center"/>
              <w:rPr>
                <w:rFonts w:ascii="Times New Roman" w:hAnsi="Times New Roman"/>
                <w:kern w:val="1"/>
                <w:sz w:val="24"/>
              </w:rPr>
            </w:pPr>
          </w:p>
        </w:tc>
        <w:tc>
          <w:tcPr>
            <w:tcW w:w="466" w:type="pct"/>
            <w:vAlign w:val="center"/>
          </w:tcPr>
          <w:p>
            <w:pPr>
              <w:jc w:val="center"/>
              <w:rPr>
                <w:rFonts w:ascii="Times New Roman" w:hAns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30" w:hRule="atLeast"/>
          <w:jc w:val="center"/>
        </w:trPr>
        <w:tc>
          <w:tcPr>
            <w:tcW w:w="381" w:type="pct"/>
            <w:vAlign w:val="center"/>
          </w:tcPr>
          <w:p>
            <w:pPr>
              <w:jc w:val="center"/>
              <w:rPr>
                <w:rFonts w:ascii="Times New Roman" w:hAnsi="Times New Roman"/>
                <w:sz w:val="24"/>
              </w:rPr>
            </w:pPr>
            <w:r>
              <w:rPr>
                <w:rFonts w:ascii="Times New Roman" w:hAnsi="Times New Roman"/>
                <w:sz w:val="24"/>
              </w:rPr>
              <w:t>6</w:t>
            </w:r>
          </w:p>
        </w:tc>
        <w:tc>
          <w:tcPr>
            <w:tcW w:w="2972" w:type="pct"/>
            <w:vAlign w:val="center"/>
          </w:tcPr>
          <w:p>
            <w:pPr>
              <w:rPr>
                <w:rFonts w:ascii="Times New Roman" w:hAnsi="Times New Roman"/>
                <w:sz w:val="24"/>
              </w:rPr>
            </w:pPr>
            <w:r>
              <w:rPr>
                <w:rFonts w:hint="eastAsia" w:ascii="Times New Roman" w:hAnsi="宋体"/>
                <w:sz w:val="24"/>
              </w:rPr>
              <w:t>北门立体包柱</w:t>
            </w:r>
            <w:r>
              <w:rPr>
                <w:rFonts w:ascii="Times New Roman" w:hAnsi="Times New Roman"/>
                <w:sz w:val="24"/>
              </w:rPr>
              <w:t>40*100*340cm</w:t>
            </w:r>
            <w:r>
              <w:rPr>
                <w:rFonts w:hint="eastAsia" w:ascii="Times New Roman" w:hAnsi="宋体"/>
                <w:sz w:val="24"/>
              </w:rPr>
              <w:t>（</w:t>
            </w:r>
            <w:r>
              <w:rPr>
                <w:rFonts w:ascii="Times New Roman" w:hAnsi="Times New Roman"/>
                <w:sz w:val="24"/>
              </w:rPr>
              <w:t>40*40*3</w:t>
            </w:r>
            <w:r>
              <w:rPr>
                <w:rFonts w:hint="eastAsia" w:ascii="Times New Roman" w:hAnsi="宋体"/>
                <w:sz w:val="24"/>
              </w:rPr>
              <w:t>镀锌管、</w:t>
            </w:r>
            <w:r>
              <w:rPr>
                <w:rFonts w:ascii="Times New Roman" w:hAnsi="Times New Roman"/>
                <w:sz w:val="24"/>
              </w:rPr>
              <w:t>2.5</w:t>
            </w:r>
            <w:r>
              <w:rPr>
                <w:rFonts w:hint="eastAsia" w:ascii="Times New Roman" w:hAnsi="宋体"/>
                <w:sz w:val="24"/>
              </w:rPr>
              <w:t>铝板涂蓝色、干挂、</w:t>
            </w:r>
            <w:r>
              <w:rPr>
                <w:rFonts w:ascii="Times New Roman" w:hAnsi="Times New Roman"/>
                <w:sz w:val="24"/>
              </w:rPr>
              <w:t>304</w:t>
            </w:r>
            <w:r>
              <w:rPr>
                <w:rFonts w:hint="eastAsia" w:ascii="Times New Roman" w:hAnsi="宋体"/>
                <w:sz w:val="24"/>
              </w:rPr>
              <w:t>拉丝不锈钢镂空背板，外贴亚克力字）</w:t>
            </w:r>
          </w:p>
        </w:tc>
        <w:tc>
          <w:tcPr>
            <w:tcW w:w="381" w:type="pct"/>
            <w:vAlign w:val="center"/>
          </w:tcPr>
          <w:p>
            <w:pPr>
              <w:jc w:val="center"/>
              <w:rPr>
                <w:rFonts w:ascii="Times New Roman" w:hAnsi="Times New Roman"/>
                <w:kern w:val="1"/>
                <w:sz w:val="24"/>
              </w:rPr>
            </w:pPr>
            <w:r>
              <w:rPr>
                <w:rFonts w:hint="eastAsia" w:ascii="Times New Roman" w:hAnsi="宋体"/>
                <w:kern w:val="1"/>
                <w:sz w:val="24"/>
              </w:rPr>
              <w:t>项</w:t>
            </w:r>
          </w:p>
        </w:tc>
        <w:tc>
          <w:tcPr>
            <w:tcW w:w="381" w:type="pct"/>
            <w:vAlign w:val="center"/>
          </w:tcPr>
          <w:p>
            <w:pPr>
              <w:jc w:val="center"/>
              <w:rPr>
                <w:rFonts w:ascii="Times New Roman" w:hAnsi="Times New Roman"/>
                <w:kern w:val="1"/>
                <w:sz w:val="24"/>
              </w:rPr>
            </w:pPr>
            <w:r>
              <w:rPr>
                <w:rFonts w:ascii="Times New Roman" w:hAnsi="Times New Roman"/>
                <w:kern w:val="1"/>
                <w:sz w:val="24"/>
              </w:rPr>
              <w:t>1</w:t>
            </w:r>
          </w:p>
        </w:tc>
        <w:tc>
          <w:tcPr>
            <w:tcW w:w="420" w:type="pct"/>
          </w:tcPr>
          <w:p>
            <w:pPr>
              <w:spacing w:line="400" w:lineRule="exact"/>
              <w:jc w:val="center"/>
              <w:rPr>
                <w:rFonts w:ascii="Times New Roman" w:hAnsi="Times New Roman"/>
                <w:kern w:val="1"/>
                <w:sz w:val="24"/>
              </w:rPr>
            </w:pPr>
          </w:p>
        </w:tc>
        <w:tc>
          <w:tcPr>
            <w:tcW w:w="466" w:type="pct"/>
            <w:vAlign w:val="center"/>
          </w:tcPr>
          <w:p>
            <w:pPr>
              <w:jc w:val="center"/>
              <w:rPr>
                <w:rFonts w:ascii="Times New Roman" w:hAns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34" w:hRule="atLeast"/>
          <w:jc w:val="center"/>
        </w:trPr>
        <w:tc>
          <w:tcPr>
            <w:tcW w:w="381" w:type="pct"/>
            <w:vAlign w:val="center"/>
          </w:tcPr>
          <w:p>
            <w:pPr>
              <w:jc w:val="center"/>
              <w:rPr>
                <w:rFonts w:ascii="Times New Roman" w:hAnsi="Times New Roman"/>
                <w:sz w:val="24"/>
              </w:rPr>
            </w:pPr>
            <w:r>
              <w:rPr>
                <w:rFonts w:ascii="Times New Roman" w:hAnsi="Times New Roman"/>
                <w:sz w:val="24"/>
              </w:rPr>
              <w:t>7</w:t>
            </w:r>
          </w:p>
        </w:tc>
        <w:tc>
          <w:tcPr>
            <w:tcW w:w="2972" w:type="pct"/>
            <w:vAlign w:val="center"/>
          </w:tcPr>
          <w:p>
            <w:pPr>
              <w:rPr>
                <w:rFonts w:ascii="Times New Roman" w:hAnsi="Times New Roman"/>
                <w:kern w:val="1"/>
                <w:sz w:val="24"/>
              </w:rPr>
            </w:pPr>
            <w:r>
              <w:rPr>
                <w:rFonts w:hint="eastAsia" w:ascii="Times New Roman" w:hAnsi="宋体"/>
                <w:kern w:val="1"/>
                <w:sz w:val="24"/>
              </w:rPr>
              <w:t>过道吊顶</w:t>
            </w:r>
            <w:r>
              <w:rPr>
                <w:rFonts w:ascii="Times New Roman" w:hAnsi="Times New Roman"/>
                <w:kern w:val="1"/>
                <w:sz w:val="24"/>
              </w:rPr>
              <w:t>480*585cm(</w:t>
            </w:r>
            <w:r>
              <w:rPr>
                <w:rFonts w:hint="eastAsia" w:ascii="Times New Roman" w:hAnsi="宋体"/>
                <w:kern w:val="1"/>
                <w:sz w:val="24"/>
              </w:rPr>
              <w:t>木纹铝格栅主辅材）</w:t>
            </w:r>
          </w:p>
        </w:tc>
        <w:tc>
          <w:tcPr>
            <w:tcW w:w="381" w:type="pct"/>
            <w:vAlign w:val="center"/>
          </w:tcPr>
          <w:p>
            <w:pPr>
              <w:jc w:val="center"/>
              <w:rPr>
                <w:rFonts w:ascii="Times New Roman" w:hAnsi="Times New Roman"/>
                <w:kern w:val="1"/>
                <w:sz w:val="24"/>
              </w:rPr>
            </w:pPr>
            <w:r>
              <w:rPr>
                <w:rFonts w:hint="eastAsia" w:ascii="Times New Roman" w:hAnsi="宋体"/>
                <w:kern w:val="1"/>
                <w:sz w:val="24"/>
              </w:rPr>
              <w:t>项</w:t>
            </w:r>
          </w:p>
        </w:tc>
        <w:tc>
          <w:tcPr>
            <w:tcW w:w="381" w:type="pct"/>
            <w:vAlign w:val="center"/>
          </w:tcPr>
          <w:p>
            <w:pPr>
              <w:jc w:val="center"/>
              <w:rPr>
                <w:rFonts w:ascii="Times New Roman" w:hAnsi="Times New Roman"/>
                <w:kern w:val="1"/>
                <w:sz w:val="24"/>
              </w:rPr>
            </w:pPr>
            <w:r>
              <w:rPr>
                <w:rFonts w:ascii="Times New Roman" w:hAnsi="Times New Roman"/>
                <w:kern w:val="1"/>
                <w:sz w:val="24"/>
              </w:rPr>
              <w:t>1</w:t>
            </w:r>
          </w:p>
        </w:tc>
        <w:tc>
          <w:tcPr>
            <w:tcW w:w="420" w:type="pct"/>
          </w:tcPr>
          <w:p>
            <w:pPr>
              <w:spacing w:line="400" w:lineRule="exact"/>
              <w:jc w:val="center"/>
              <w:rPr>
                <w:rFonts w:ascii="Times New Roman" w:hAnsi="Times New Roman"/>
                <w:kern w:val="1"/>
                <w:sz w:val="24"/>
              </w:rPr>
            </w:pPr>
          </w:p>
        </w:tc>
        <w:tc>
          <w:tcPr>
            <w:tcW w:w="466" w:type="pct"/>
            <w:vAlign w:val="center"/>
          </w:tcPr>
          <w:p>
            <w:pPr>
              <w:jc w:val="center"/>
              <w:rPr>
                <w:rFonts w:ascii="Times New Roman" w:hAnsi="Times New Roman"/>
                <w:kern w:val="1"/>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12" w:hRule="atLeast"/>
          <w:jc w:val="center"/>
        </w:trPr>
        <w:tc>
          <w:tcPr>
            <w:tcW w:w="381" w:type="pct"/>
            <w:vAlign w:val="center"/>
          </w:tcPr>
          <w:p>
            <w:pPr>
              <w:jc w:val="center"/>
              <w:rPr>
                <w:rFonts w:ascii="Times New Roman" w:hAnsi="Times New Roman"/>
                <w:sz w:val="24"/>
              </w:rPr>
            </w:pPr>
            <w:r>
              <w:rPr>
                <w:rFonts w:ascii="Times New Roman" w:hAnsi="Times New Roman"/>
                <w:sz w:val="24"/>
              </w:rPr>
              <w:t>8</w:t>
            </w:r>
          </w:p>
        </w:tc>
        <w:tc>
          <w:tcPr>
            <w:tcW w:w="2972" w:type="pct"/>
            <w:vAlign w:val="center"/>
          </w:tcPr>
          <w:p>
            <w:pPr>
              <w:rPr>
                <w:rFonts w:ascii="Times New Roman" w:hAnsi="宋体"/>
                <w:kern w:val="1"/>
                <w:sz w:val="24"/>
              </w:rPr>
            </w:pPr>
            <w:r>
              <w:rPr>
                <w:rFonts w:hint="eastAsia" w:ascii="Times New Roman" w:hAnsi="宋体"/>
                <w:kern w:val="1"/>
                <w:sz w:val="24"/>
              </w:rPr>
              <w:t>拆除费用（原有门牌石材清洗、部分拆除清运）</w:t>
            </w:r>
          </w:p>
        </w:tc>
        <w:tc>
          <w:tcPr>
            <w:tcW w:w="381" w:type="pct"/>
            <w:vAlign w:val="center"/>
          </w:tcPr>
          <w:p>
            <w:pPr>
              <w:jc w:val="center"/>
              <w:rPr>
                <w:rFonts w:ascii="Times New Roman" w:hAnsi="Times New Roman"/>
                <w:kern w:val="1"/>
                <w:sz w:val="24"/>
              </w:rPr>
            </w:pPr>
            <w:r>
              <w:rPr>
                <w:rFonts w:hint="eastAsia" w:ascii="Times New Roman" w:hAnsi="宋体"/>
                <w:kern w:val="1"/>
                <w:sz w:val="24"/>
              </w:rPr>
              <w:t>项</w:t>
            </w:r>
          </w:p>
        </w:tc>
        <w:tc>
          <w:tcPr>
            <w:tcW w:w="381" w:type="pct"/>
            <w:vAlign w:val="center"/>
          </w:tcPr>
          <w:p>
            <w:pPr>
              <w:jc w:val="center"/>
              <w:rPr>
                <w:rFonts w:ascii="Times New Roman" w:hAnsi="Times New Roman"/>
                <w:kern w:val="1"/>
                <w:sz w:val="24"/>
              </w:rPr>
            </w:pPr>
            <w:r>
              <w:rPr>
                <w:rFonts w:ascii="Times New Roman" w:hAnsi="Times New Roman"/>
                <w:kern w:val="1"/>
                <w:sz w:val="24"/>
              </w:rPr>
              <w:t>1</w:t>
            </w:r>
          </w:p>
        </w:tc>
        <w:tc>
          <w:tcPr>
            <w:tcW w:w="420" w:type="pct"/>
          </w:tcPr>
          <w:p>
            <w:pPr>
              <w:spacing w:line="400" w:lineRule="exact"/>
              <w:jc w:val="center"/>
              <w:rPr>
                <w:rFonts w:ascii="Times New Roman" w:hAnsi="Times New Roman"/>
                <w:kern w:val="1"/>
                <w:sz w:val="24"/>
              </w:rPr>
            </w:pPr>
          </w:p>
        </w:tc>
        <w:tc>
          <w:tcPr>
            <w:tcW w:w="466" w:type="pct"/>
            <w:vAlign w:val="center"/>
          </w:tcPr>
          <w:p>
            <w:pPr>
              <w:jc w:val="center"/>
              <w:rPr>
                <w:rFonts w:ascii="Times New Roman" w:hAnsi="Times New Roman"/>
                <w:kern w:val="1"/>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381" w:type="pct"/>
            <w:vAlign w:val="center"/>
          </w:tcPr>
          <w:p>
            <w:pPr>
              <w:jc w:val="center"/>
              <w:rPr>
                <w:rFonts w:ascii="Times New Roman" w:hAnsi="Times New Roman"/>
                <w:sz w:val="24"/>
              </w:rPr>
            </w:pPr>
            <w:r>
              <w:rPr>
                <w:rFonts w:ascii="Times New Roman" w:hAnsi="Times New Roman"/>
                <w:sz w:val="24"/>
              </w:rPr>
              <w:t>9</w:t>
            </w:r>
          </w:p>
        </w:tc>
        <w:tc>
          <w:tcPr>
            <w:tcW w:w="2972" w:type="pct"/>
            <w:vAlign w:val="center"/>
          </w:tcPr>
          <w:p>
            <w:pPr>
              <w:rPr>
                <w:rFonts w:ascii="Times New Roman" w:hAnsi="宋体"/>
                <w:kern w:val="1"/>
                <w:sz w:val="24"/>
              </w:rPr>
            </w:pPr>
            <w:r>
              <w:rPr>
                <w:rFonts w:hint="eastAsia" w:ascii="Times New Roman" w:hAnsi="宋体"/>
                <w:kern w:val="1"/>
                <w:sz w:val="24"/>
              </w:rPr>
              <w:t>户外单色显示屏（</w:t>
            </w:r>
            <w:r>
              <w:rPr>
                <w:rFonts w:ascii="Times New Roman" w:hAnsi="宋体"/>
                <w:kern w:val="1"/>
                <w:sz w:val="24"/>
              </w:rPr>
              <w:t>580cm*58</w:t>
            </w:r>
            <w:r>
              <w:rPr>
                <w:rFonts w:hint="eastAsia" w:ascii="Times New Roman" w:hAnsi="宋体"/>
                <w:kern w:val="1"/>
                <w:sz w:val="24"/>
              </w:rPr>
              <w:t>）</w:t>
            </w:r>
          </w:p>
        </w:tc>
        <w:tc>
          <w:tcPr>
            <w:tcW w:w="381" w:type="pct"/>
            <w:vAlign w:val="center"/>
          </w:tcPr>
          <w:p>
            <w:pPr>
              <w:jc w:val="center"/>
              <w:rPr>
                <w:rFonts w:ascii="Times New Roman" w:hAnsi="Times New Roman"/>
                <w:sz w:val="24"/>
              </w:rPr>
            </w:pPr>
            <w:r>
              <w:rPr>
                <w:rFonts w:hint="eastAsia" w:ascii="Times New Roman" w:hAnsi="宋体"/>
                <w:sz w:val="24"/>
              </w:rPr>
              <w:t>平方</w:t>
            </w:r>
          </w:p>
        </w:tc>
        <w:tc>
          <w:tcPr>
            <w:tcW w:w="381" w:type="pct"/>
            <w:vAlign w:val="center"/>
          </w:tcPr>
          <w:p>
            <w:pPr>
              <w:jc w:val="center"/>
              <w:rPr>
                <w:rFonts w:ascii="Times New Roman" w:hAnsi="Times New Roman"/>
                <w:sz w:val="24"/>
              </w:rPr>
            </w:pPr>
            <w:r>
              <w:rPr>
                <w:rFonts w:ascii="Times New Roman" w:hAnsi="Times New Roman"/>
                <w:sz w:val="24"/>
              </w:rPr>
              <w:t>3.4</w:t>
            </w:r>
          </w:p>
        </w:tc>
        <w:tc>
          <w:tcPr>
            <w:tcW w:w="420" w:type="pct"/>
            <w:vAlign w:val="center"/>
          </w:tcPr>
          <w:p>
            <w:pPr>
              <w:jc w:val="center"/>
              <w:rPr>
                <w:rFonts w:ascii="Times New Roman" w:hAnsi="Times New Roman"/>
                <w:sz w:val="24"/>
              </w:rPr>
            </w:pPr>
          </w:p>
        </w:tc>
        <w:tc>
          <w:tcPr>
            <w:tcW w:w="466" w:type="pct"/>
            <w:vAlign w:val="center"/>
          </w:tcPr>
          <w:p>
            <w:pPr>
              <w:jc w:val="center"/>
              <w:rPr>
                <w:rFonts w:ascii="Times New Roman" w:hAns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381" w:type="pct"/>
            <w:vAlign w:val="center"/>
          </w:tcPr>
          <w:p>
            <w:pPr>
              <w:jc w:val="center"/>
              <w:rPr>
                <w:rFonts w:ascii="Times New Roman" w:hAnsi="Times New Roman"/>
                <w:sz w:val="24"/>
              </w:rPr>
            </w:pPr>
            <w:r>
              <w:rPr>
                <w:rFonts w:ascii="Times New Roman" w:hAnsi="Times New Roman"/>
                <w:sz w:val="24"/>
              </w:rPr>
              <w:t>10</w:t>
            </w:r>
          </w:p>
        </w:tc>
        <w:tc>
          <w:tcPr>
            <w:tcW w:w="2972" w:type="pct"/>
            <w:vAlign w:val="center"/>
          </w:tcPr>
          <w:p>
            <w:pPr>
              <w:rPr>
                <w:rFonts w:ascii="Times New Roman" w:hAnsi="宋体"/>
                <w:kern w:val="1"/>
                <w:sz w:val="24"/>
              </w:rPr>
            </w:pPr>
            <w:r>
              <w:rPr>
                <w:rFonts w:hint="eastAsia" w:ascii="Times New Roman" w:hAnsi="宋体"/>
                <w:kern w:val="1"/>
                <w:sz w:val="24"/>
              </w:rPr>
              <w:t>税金（普通增值税票）</w:t>
            </w:r>
          </w:p>
        </w:tc>
        <w:tc>
          <w:tcPr>
            <w:tcW w:w="381" w:type="pct"/>
            <w:vAlign w:val="center"/>
          </w:tcPr>
          <w:p>
            <w:pPr>
              <w:jc w:val="center"/>
              <w:rPr>
                <w:rFonts w:ascii="Times New Roman" w:hAnsi="Times New Roman"/>
                <w:sz w:val="24"/>
              </w:rPr>
            </w:pPr>
          </w:p>
        </w:tc>
        <w:tc>
          <w:tcPr>
            <w:tcW w:w="381" w:type="pct"/>
            <w:vAlign w:val="center"/>
          </w:tcPr>
          <w:p>
            <w:pPr>
              <w:jc w:val="center"/>
              <w:rPr>
                <w:rFonts w:ascii="Times New Roman" w:hAnsi="Times New Roman"/>
                <w:sz w:val="24"/>
              </w:rPr>
            </w:pPr>
          </w:p>
        </w:tc>
        <w:tc>
          <w:tcPr>
            <w:tcW w:w="420" w:type="pct"/>
            <w:vAlign w:val="center"/>
          </w:tcPr>
          <w:p>
            <w:pPr>
              <w:jc w:val="center"/>
              <w:rPr>
                <w:rFonts w:ascii="Times New Roman" w:hAnsi="Times New Roman"/>
                <w:sz w:val="24"/>
              </w:rPr>
            </w:pPr>
          </w:p>
        </w:tc>
        <w:tc>
          <w:tcPr>
            <w:tcW w:w="466" w:type="pct"/>
            <w:vAlign w:val="center"/>
          </w:tcPr>
          <w:p>
            <w:pPr>
              <w:jc w:val="center"/>
              <w:rPr>
                <w:rFonts w:ascii="Times New Roman" w:hAns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3353" w:type="pct"/>
            <w:gridSpan w:val="2"/>
            <w:tcBorders>
              <w:bottom w:val="single" w:color="000000" w:sz="8" w:space="0"/>
            </w:tcBorders>
            <w:vAlign w:val="center"/>
          </w:tcPr>
          <w:p>
            <w:pPr>
              <w:jc w:val="center"/>
              <w:rPr>
                <w:rFonts w:ascii="黑体" w:hAnsi="黑体" w:eastAsia="黑体"/>
                <w:kern w:val="1"/>
                <w:sz w:val="28"/>
                <w:szCs w:val="28"/>
              </w:rPr>
            </w:pPr>
            <w:r>
              <w:rPr>
                <w:rFonts w:hint="eastAsia" w:ascii="黑体" w:hAnsi="黑体" w:eastAsia="黑体"/>
                <w:kern w:val="1"/>
                <w:sz w:val="28"/>
                <w:szCs w:val="28"/>
              </w:rPr>
              <w:t>合计</w:t>
            </w:r>
          </w:p>
        </w:tc>
        <w:tc>
          <w:tcPr>
            <w:tcW w:w="381" w:type="pct"/>
            <w:tcBorders>
              <w:bottom w:val="single" w:color="000000" w:sz="8" w:space="0"/>
            </w:tcBorders>
            <w:vAlign w:val="center"/>
          </w:tcPr>
          <w:p>
            <w:pPr>
              <w:jc w:val="center"/>
              <w:rPr>
                <w:rFonts w:ascii="Times New Roman" w:hAnsi="Times New Roman"/>
                <w:sz w:val="24"/>
              </w:rPr>
            </w:pPr>
          </w:p>
        </w:tc>
        <w:tc>
          <w:tcPr>
            <w:tcW w:w="381" w:type="pct"/>
            <w:tcBorders>
              <w:bottom w:val="single" w:color="000000" w:sz="8" w:space="0"/>
            </w:tcBorders>
            <w:vAlign w:val="center"/>
          </w:tcPr>
          <w:p>
            <w:pPr>
              <w:jc w:val="center"/>
              <w:rPr>
                <w:rFonts w:ascii="Times New Roman" w:hAnsi="Times New Roman"/>
                <w:sz w:val="24"/>
              </w:rPr>
            </w:pPr>
          </w:p>
        </w:tc>
        <w:tc>
          <w:tcPr>
            <w:tcW w:w="420" w:type="pct"/>
            <w:tcBorders>
              <w:bottom w:val="single" w:color="000000" w:sz="8" w:space="0"/>
            </w:tcBorders>
          </w:tcPr>
          <w:p>
            <w:pPr>
              <w:rPr>
                <w:rFonts w:ascii="Times New Roman" w:hAnsi="Times New Roman"/>
                <w:sz w:val="24"/>
              </w:rPr>
            </w:pPr>
          </w:p>
        </w:tc>
        <w:tc>
          <w:tcPr>
            <w:tcW w:w="466" w:type="pct"/>
            <w:tcBorders>
              <w:bottom w:val="single" w:color="000000" w:sz="8" w:space="0"/>
            </w:tcBorders>
            <w:vAlign w:val="center"/>
          </w:tcPr>
          <w:p>
            <w:pPr>
              <w:jc w:val="center"/>
              <w:rPr>
                <w:rFonts w:ascii="Times New Roman" w:hAnsi="Times New Roman"/>
                <w:sz w:val="24"/>
              </w:rPr>
            </w:pPr>
          </w:p>
        </w:tc>
      </w:tr>
    </w:tbl>
    <w:p>
      <w:pPr>
        <w:spacing w:line="560" w:lineRule="exact"/>
        <w:ind w:firstLine="480" w:firstLineChars="200"/>
        <w:rPr>
          <w:rFonts w:ascii="仿宋_GB2312" w:hAnsi="仿宋_GB2312" w:eastAsia="仿宋_GB2312" w:cs="仿宋_GB2312"/>
          <w:b/>
          <w:bCs/>
          <w:sz w:val="28"/>
          <w:szCs w:val="28"/>
        </w:rPr>
      </w:pPr>
      <w:r>
        <w:rPr>
          <w:rFonts w:hint="eastAsia" w:ascii="仿宋_GB2312" w:hAnsi="仿宋_GB2312" w:eastAsia="仿宋_GB2312" w:cs="仿宋_GB2312"/>
          <w:sz w:val="24"/>
          <w:szCs w:val="24"/>
        </w:rPr>
        <w:t>总预算金额：</w:t>
      </w:r>
      <w:r>
        <w:rPr>
          <w:rFonts w:hint="eastAsia" w:ascii="仿宋_GB2312" w:hAnsi="仿宋_GB2312" w:eastAsia="仿宋_GB2312" w:cs="仿宋_GB2312"/>
          <w:sz w:val="24"/>
          <w:szCs w:val="24"/>
          <w:u w:val="single"/>
        </w:rPr>
        <w:t xml:space="preserve">   171400元整   （大写：壹拾柒万壹千肆佰元整）</w:t>
      </w:r>
      <w:r>
        <w:rPr>
          <w:rFonts w:hint="eastAsia" w:ascii="仿宋_GB2312" w:hAnsi="仿宋_GB2312" w:eastAsia="仿宋_GB2312" w:cs="仿宋_GB2312"/>
          <w:sz w:val="24"/>
          <w:szCs w:val="24"/>
          <w:u w:val="single"/>
          <w:lang w:eastAsia="zh-CN"/>
        </w:rPr>
        <w:t>，</w:t>
      </w:r>
      <w:r>
        <w:rPr>
          <w:rFonts w:hint="eastAsia" w:ascii="仿宋_GB2312" w:hAnsi="仿宋_GB2312" w:eastAsia="仿宋_GB2312" w:cs="仿宋_GB2312"/>
          <w:b/>
          <w:bCs/>
          <w:sz w:val="28"/>
          <w:szCs w:val="28"/>
          <w:u w:val="single"/>
          <w:lang w:eastAsia="zh-CN"/>
        </w:rPr>
        <w:t>超过预算的报价为无效报价</w:t>
      </w:r>
      <w:r>
        <w:rPr>
          <w:rFonts w:hint="eastAsia" w:ascii="仿宋_GB2312" w:hAnsi="仿宋_GB2312" w:eastAsia="仿宋_GB2312" w:cs="仿宋_GB2312"/>
          <w:b/>
          <w:bCs/>
          <w:sz w:val="28"/>
          <w:szCs w:val="28"/>
          <w:u w:val="single"/>
        </w:rPr>
        <w:t>。</w:t>
      </w:r>
    </w:p>
    <w:p>
      <w:pPr>
        <w:spacing w:line="560"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三、投标人须具备的资格条件</w:t>
      </w:r>
    </w:p>
    <w:p>
      <w:pPr>
        <w:spacing w:line="56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1.在中华人民共和国境内注册，符合《中华人民共和国政府采购法》第二十二条之规定。</w:t>
      </w:r>
    </w:p>
    <w:p>
      <w:pPr>
        <w:spacing w:line="56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2.投标人必须具有独立承担民事责任的能力,具有三证合一的企业法人营业执照，经营范围与本次招标项目相关。</w:t>
      </w:r>
    </w:p>
    <w:p>
      <w:pPr>
        <w:snapToGrid w:val="0"/>
        <w:spacing w:line="560" w:lineRule="exact"/>
        <w:ind w:firstLine="560" w:firstLineChars="200"/>
        <w:rPr>
          <w:rFonts w:ascii="仿宋_GB2312" w:hAnsi="仿宋_GB2312" w:eastAsia="仿宋_GB2312" w:cs="仿宋_GB2312"/>
          <w:b/>
          <w:bCs/>
          <w:color w:val="000000"/>
          <w:sz w:val="28"/>
          <w:szCs w:val="28"/>
          <w:u w:val="single"/>
        </w:rPr>
      </w:pPr>
      <w:r>
        <w:rPr>
          <w:rFonts w:hint="eastAsia" w:ascii="仿宋_GB2312" w:hAnsi="仿宋_GB2312" w:eastAsia="仿宋_GB2312" w:cs="仿宋_GB2312"/>
          <w:color w:val="000000"/>
          <w:sz w:val="28"/>
          <w:szCs w:val="28"/>
        </w:rPr>
        <w:t>3.投标人</w:t>
      </w:r>
      <w:r>
        <w:rPr>
          <w:rFonts w:hint="eastAsia" w:ascii="仿宋_GB2312" w:hAnsi="仿宋_GB2312" w:eastAsia="仿宋_GB2312" w:cs="仿宋_GB2312"/>
          <w:b/>
          <w:bCs/>
          <w:color w:val="000000"/>
          <w:sz w:val="32"/>
          <w:szCs w:val="32"/>
        </w:rPr>
        <w:t>报名和开标时</w:t>
      </w:r>
      <w:r>
        <w:rPr>
          <w:rFonts w:hint="eastAsia" w:ascii="仿宋_GB2312" w:hAnsi="仿宋_GB2312" w:eastAsia="仿宋_GB2312" w:cs="仿宋_GB2312"/>
          <w:color w:val="000000"/>
          <w:sz w:val="28"/>
          <w:szCs w:val="28"/>
        </w:rPr>
        <w:t>必须携带</w:t>
      </w:r>
      <w:r>
        <w:rPr>
          <w:rFonts w:hint="eastAsia" w:ascii="仿宋_GB2312" w:hAnsi="仿宋_GB2312" w:eastAsia="仿宋_GB2312" w:cs="仿宋_GB2312"/>
          <w:b/>
          <w:color w:val="000000"/>
          <w:sz w:val="36"/>
          <w:szCs w:val="28"/>
        </w:rPr>
        <w:t>（原件备查）</w:t>
      </w:r>
      <w:r>
        <w:rPr>
          <w:rFonts w:hint="eastAsia" w:ascii="仿宋_GB2312" w:hAnsi="仿宋_GB2312" w:eastAsia="仿宋_GB2312" w:cs="仿宋_GB2312"/>
          <w:b/>
          <w:bCs/>
          <w:color w:val="000000"/>
          <w:sz w:val="28"/>
          <w:szCs w:val="28"/>
          <w:u w:val="single"/>
        </w:rPr>
        <w:t>营业执照复印件盖公章）、法定代表人（盖章）的授权委托书、法定代表人身份证复印件（盖单位公章）、法定代表人身份证原件（委托的就携带法定代表人授权的委托人的身份证原件，复印件盖单位公章）。</w:t>
      </w:r>
    </w:p>
    <w:p>
      <w:pPr>
        <w:spacing w:line="56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4.投标人未处于投标资格被取消或者财产被接管、冻结和破产状态；没有因骗取中标或严重违约以及发生重大质量、安全生产事故等问题被有关部门暂停投标资格并在暂停期内的。</w:t>
      </w:r>
    </w:p>
    <w:p>
      <w:pPr>
        <w:spacing w:line="56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5.本项目不接受联合体投标，法定代表人为同一人或者存在投资、直接控股、管理关系的不同投标人，不得同时参加本项目投标。</w:t>
      </w:r>
    </w:p>
    <w:p>
      <w:pPr>
        <w:spacing w:line="560"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四、招标内容及要求</w:t>
      </w:r>
    </w:p>
    <w:p>
      <w:pPr>
        <w:spacing w:line="56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1.招标内容：海洋路校牌制作，要求等内容详见招标文件第一部分。</w:t>
      </w:r>
    </w:p>
    <w:p>
      <w:pPr>
        <w:spacing w:line="56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2.项目完成时间：根据招标方要求日期内完成，在采购合同签定后</w:t>
      </w:r>
      <w:r>
        <w:rPr>
          <w:rFonts w:hint="eastAsia" w:ascii="仿宋_GB2312" w:hAnsi="仿宋_GB2312" w:eastAsia="仿宋_GB2312" w:cs="仿宋_GB2312"/>
          <w:b/>
          <w:sz w:val="24"/>
          <w:szCs w:val="24"/>
        </w:rPr>
        <w:t>10个日历天</w:t>
      </w:r>
      <w:r>
        <w:rPr>
          <w:rFonts w:hint="eastAsia" w:ascii="仿宋_GB2312" w:hAnsi="仿宋_GB2312" w:eastAsia="仿宋_GB2312" w:cs="仿宋_GB2312"/>
          <w:sz w:val="24"/>
          <w:szCs w:val="24"/>
        </w:rPr>
        <w:t>内交货并完成安装调试，并一次通过验收。</w:t>
      </w:r>
    </w:p>
    <w:p>
      <w:pPr>
        <w:spacing w:line="56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3.招标范围：所需服务项目及附配件的采购、包装、运输、维修、安装、售后服务等。中标人在安装施工过程中，应对施工项目的安全性作充分考虑，高空作业应由专业人员进行施工，如在作业过程出现安全事故与招标人无关，一切责任由中标人承担。</w:t>
      </w:r>
    </w:p>
    <w:p>
      <w:pPr>
        <w:spacing w:line="56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4.项目供货时间要求：中标人应按招标人要求，按时按地点要求供货。</w:t>
      </w:r>
    </w:p>
    <w:p>
      <w:pPr>
        <w:spacing w:line="56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5.质量标准：符合国家质量体系认证。</w:t>
      </w:r>
    </w:p>
    <w:p>
      <w:pPr>
        <w:spacing w:line="560"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五、投标保证金及履约保证金</w:t>
      </w:r>
    </w:p>
    <w:p>
      <w:pPr>
        <w:spacing w:line="56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1.本项目投标保证金为人民币</w:t>
      </w:r>
      <w:r>
        <w:rPr>
          <w:rFonts w:hint="eastAsia" w:ascii="仿宋_GB2312" w:hAnsi="仿宋_GB2312" w:eastAsia="仿宋_GB2312" w:cs="仿宋_GB2312"/>
          <w:b/>
          <w:sz w:val="24"/>
          <w:szCs w:val="24"/>
          <w:u w:val="single"/>
        </w:rPr>
        <w:t>4000</w:t>
      </w:r>
      <w:r>
        <w:rPr>
          <w:rFonts w:hint="eastAsia" w:ascii="仿宋_GB2312" w:hAnsi="仿宋_GB2312" w:eastAsia="仿宋_GB2312" w:cs="仿宋_GB2312"/>
          <w:sz w:val="24"/>
          <w:szCs w:val="24"/>
        </w:rPr>
        <w:t>元，投标保证金必须使用银行本票或汇票形式，投标人未能按上述要求提交投标保证金的，招标人将视其为不响应投标而予以拒绝。</w:t>
      </w:r>
    </w:p>
    <w:p>
      <w:pPr>
        <w:spacing w:line="56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2.投标保证金核验方式为：投标文件递交的同时，投标单位将本票或汇票直接提交给投标文件接收人员。未按上述要求提交保证金交款凭据的，投标文件将不予接收。</w:t>
      </w:r>
    </w:p>
    <w:p>
      <w:pPr>
        <w:spacing w:line="56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3.若中标，投标保证金在合同签订后无息退还；未中标单位于现场退还投标保证金（无息退还）。中标人于签订合同后1个工作日内向招标人指定账号缴纳履约保证金4000元。</w:t>
      </w:r>
    </w:p>
    <w:p>
      <w:pPr>
        <w:spacing w:line="56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4.除不可抗力情况外，投标人发生下列任何情况之一，投标保证金将被没收，给招标人造成的损失超过投标保证金或履约保证金数额的，中标人还应当对超过部分予以赔偿：</w:t>
      </w:r>
    </w:p>
    <w:p>
      <w:pPr>
        <w:spacing w:line="56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（1）投标人在投标有效期内撤回其投标；</w:t>
      </w:r>
    </w:p>
    <w:p>
      <w:pPr>
        <w:spacing w:line="56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（2）中标人在规定期限内未签订合同；</w:t>
      </w:r>
    </w:p>
    <w:p>
      <w:pPr>
        <w:spacing w:line="56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（3）投标人提供的有关资料、资格证书被确认是不真实的；</w:t>
      </w:r>
    </w:p>
    <w:p>
      <w:pPr>
        <w:spacing w:line="56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（4）投标人被证明有妨碍其他人公平竞争、损害招标人或者其他投标人合法权益的；</w:t>
      </w:r>
    </w:p>
    <w:p>
      <w:pPr>
        <w:spacing w:line="56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（5）投标人故意捏造事实或伪造证明材料，进行虚假恶意投诉或反映的。</w:t>
      </w:r>
    </w:p>
    <w:p>
      <w:pPr>
        <w:spacing w:line="56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5.履约保证金的退还：合同期满后全额退还。</w:t>
      </w:r>
    </w:p>
    <w:p>
      <w:pPr>
        <w:spacing w:line="560"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六、报名、招标文件获取、投标文件递交截止时间、开标时间及地点</w:t>
      </w:r>
    </w:p>
    <w:p>
      <w:pPr>
        <w:spacing w:line="560" w:lineRule="exact"/>
        <w:ind w:firstLine="480" w:firstLineChars="200"/>
        <w:rPr>
          <w:rFonts w:ascii="仿宋_GB2312" w:hAnsi="仿宋_GB2312" w:eastAsia="仿宋_GB2312" w:cs="仿宋_GB2312"/>
          <w:b/>
          <w:sz w:val="24"/>
          <w:szCs w:val="24"/>
        </w:rPr>
      </w:pPr>
      <w:r>
        <w:rPr>
          <w:rFonts w:hint="eastAsia" w:ascii="仿宋_GB2312" w:hAnsi="仿宋_GB2312" w:eastAsia="仿宋_GB2312" w:cs="仿宋_GB2312"/>
          <w:sz w:val="24"/>
          <w:szCs w:val="24"/>
        </w:rPr>
        <w:t>1.报名、招标文件获取时间：</w:t>
      </w:r>
      <w:r>
        <w:rPr>
          <w:rFonts w:hint="eastAsia" w:ascii="仿宋_GB2312" w:hAnsi="仿宋_GB2312" w:eastAsia="仿宋_GB2312" w:cs="仿宋_GB2312"/>
          <w:b/>
          <w:sz w:val="24"/>
          <w:szCs w:val="24"/>
        </w:rPr>
        <w:t>2020年</w:t>
      </w:r>
      <w:r>
        <w:rPr>
          <w:rFonts w:hint="eastAsia" w:ascii="仿宋_GB2312" w:hAnsi="仿宋_GB2312" w:eastAsia="仿宋_GB2312" w:cs="仿宋_GB2312"/>
          <w:b/>
          <w:sz w:val="24"/>
          <w:szCs w:val="24"/>
          <w:lang w:val="en-US" w:eastAsia="zh-CN"/>
        </w:rPr>
        <w:t>3</w:t>
      </w:r>
      <w:r>
        <w:rPr>
          <w:rFonts w:hint="eastAsia" w:ascii="仿宋_GB2312" w:hAnsi="仿宋_GB2312" w:eastAsia="仿宋_GB2312" w:cs="仿宋_GB2312"/>
          <w:b/>
          <w:sz w:val="24"/>
          <w:szCs w:val="24"/>
        </w:rPr>
        <w:t>月</w:t>
      </w:r>
      <w:r>
        <w:rPr>
          <w:rFonts w:hint="eastAsia" w:ascii="仿宋_GB2312" w:hAnsi="仿宋_GB2312" w:eastAsia="仿宋_GB2312" w:cs="仿宋_GB2312"/>
          <w:b/>
          <w:sz w:val="24"/>
          <w:szCs w:val="24"/>
          <w:lang w:val="en-US" w:eastAsia="zh-CN"/>
        </w:rPr>
        <w:t>27</w:t>
      </w:r>
      <w:r>
        <w:rPr>
          <w:rFonts w:hint="eastAsia" w:ascii="仿宋_GB2312" w:hAnsi="仿宋_GB2312" w:eastAsia="仿宋_GB2312" w:cs="仿宋_GB2312"/>
          <w:b/>
          <w:sz w:val="24"/>
          <w:szCs w:val="24"/>
        </w:rPr>
        <w:t>日—</w:t>
      </w:r>
      <w:r>
        <w:rPr>
          <w:rFonts w:hint="eastAsia" w:ascii="仿宋_GB2312" w:hAnsi="仿宋_GB2312" w:eastAsia="仿宋_GB2312" w:cs="仿宋_GB2312"/>
          <w:b/>
          <w:sz w:val="24"/>
          <w:szCs w:val="24"/>
          <w:lang w:val="en-US" w:eastAsia="zh-CN"/>
        </w:rPr>
        <w:t>4</w:t>
      </w:r>
      <w:r>
        <w:rPr>
          <w:rFonts w:hint="eastAsia" w:ascii="仿宋_GB2312" w:hAnsi="仿宋_GB2312" w:eastAsia="仿宋_GB2312" w:cs="仿宋_GB2312"/>
          <w:b/>
          <w:sz w:val="24"/>
          <w:szCs w:val="24"/>
        </w:rPr>
        <w:t>月</w:t>
      </w:r>
      <w:r>
        <w:rPr>
          <w:rFonts w:hint="eastAsia" w:ascii="仿宋_GB2312" w:hAnsi="仿宋_GB2312" w:eastAsia="仿宋_GB2312" w:cs="仿宋_GB2312"/>
          <w:b/>
          <w:sz w:val="24"/>
          <w:szCs w:val="24"/>
          <w:lang w:val="en-US" w:eastAsia="zh-CN"/>
        </w:rPr>
        <w:t>2</w:t>
      </w:r>
      <w:r>
        <w:rPr>
          <w:rFonts w:hint="eastAsia" w:ascii="仿宋_GB2312" w:hAnsi="仿宋_GB2312" w:eastAsia="仿宋_GB2312" w:cs="仿宋_GB2312"/>
          <w:b/>
          <w:sz w:val="24"/>
          <w:szCs w:val="24"/>
        </w:rPr>
        <w:t>日（9:00-11:00；15:00—17:</w:t>
      </w:r>
      <w:r>
        <w:rPr>
          <w:rFonts w:hint="eastAsia" w:ascii="仿宋_GB2312" w:hAnsi="仿宋_GB2312" w:eastAsia="仿宋_GB2312" w:cs="仿宋_GB2312"/>
          <w:b/>
          <w:sz w:val="24"/>
          <w:szCs w:val="24"/>
          <w:lang w:val="en-US" w:eastAsia="zh-CN"/>
        </w:rPr>
        <w:t>00</w:t>
      </w:r>
      <w:r>
        <w:rPr>
          <w:rFonts w:hint="eastAsia" w:ascii="仿宋_GB2312" w:hAnsi="仿宋_GB2312" w:eastAsia="仿宋_GB2312" w:cs="仿宋_GB2312"/>
          <w:b/>
          <w:sz w:val="24"/>
          <w:szCs w:val="24"/>
        </w:rPr>
        <w:t>）；</w:t>
      </w:r>
    </w:p>
    <w:p>
      <w:pPr>
        <w:spacing w:line="56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地点：盐城市文港中路128号江苏省盐城技师学院研发中心大楼1001会议室。</w:t>
      </w:r>
    </w:p>
    <w:p>
      <w:pPr>
        <w:spacing w:line="56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联系人：杨老师 0515—68661002/1</w:t>
      </w:r>
      <w:bookmarkStart w:id="0" w:name="_GoBack"/>
      <w:bookmarkEnd w:id="0"/>
      <w:r>
        <w:rPr>
          <w:rFonts w:hint="eastAsia" w:ascii="仿宋_GB2312" w:hAnsi="仿宋_GB2312" w:eastAsia="仿宋_GB2312" w:cs="仿宋_GB2312"/>
          <w:sz w:val="24"/>
          <w:szCs w:val="24"/>
        </w:rPr>
        <w:t>3770176940</w:t>
      </w:r>
    </w:p>
    <w:p>
      <w:pPr>
        <w:spacing w:line="56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2.投标文件递交截止时间：</w:t>
      </w:r>
      <w:r>
        <w:rPr>
          <w:rFonts w:hint="eastAsia" w:ascii="仿宋_GB2312" w:hAnsi="仿宋_GB2312" w:eastAsia="仿宋_GB2312" w:cs="仿宋_GB2312"/>
          <w:b/>
          <w:sz w:val="24"/>
          <w:szCs w:val="24"/>
        </w:rPr>
        <w:t>2020年</w:t>
      </w:r>
      <w:r>
        <w:rPr>
          <w:rFonts w:hint="eastAsia" w:ascii="仿宋_GB2312" w:hAnsi="仿宋_GB2312" w:eastAsia="仿宋_GB2312" w:cs="仿宋_GB2312"/>
          <w:b/>
          <w:sz w:val="24"/>
          <w:szCs w:val="24"/>
          <w:lang w:val="en-US" w:eastAsia="zh-CN"/>
        </w:rPr>
        <w:t>4</w:t>
      </w:r>
      <w:r>
        <w:rPr>
          <w:rFonts w:hint="eastAsia" w:ascii="仿宋_GB2312" w:hAnsi="仿宋_GB2312" w:eastAsia="仿宋_GB2312" w:cs="仿宋_GB2312"/>
          <w:b/>
          <w:sz w:val="24"/>
          <w:szCs w:val="24"/>
        </w:rPr>
        <w:t>月</w:t>
      </w:r>
      <w:r>
        <w:rPr>
          <w:rFonts w:hint="eastAsia" w:ascii="仿宋_GB2312" w:hAnsi="仿宋_GB2312" w:eastAsia="仿宋_GB2312" w:cs="仿宋_GB2312"/>
          <w:b/>
          <w:sz w:val="24"/>
          <w:szCs w:val="24"/>
          <w:lang w:val="en-US" w:eastAsia="zh-CN"/>
        </w:rPr>
        <w:t>3</w:t>
      </w:r>
      <w:r>
        <w:rPr>
          <w:rFonts w:hint="eastAsia" w:ascii="仿宋_GB2312" w:hAnsi="仿宋_GB2312" w:eastAsia="仿宋_GB2312" w:cs="仿宋_GB2312"/>
          <w:b/>
          <w:sz w:val="24"/>
          <w:szCs w:val="24"/>
        </w:rPr>
        <w:t>日</w:t>
      </w:r>
      <w:r>
        <w:rPr>
          <w:rFonts w:hint="eastAsia" w:ascii="仿宋_GB2312" w:hAnsi="仿宋_GB2312" w:eastAsia="仿宋_GB2312" w:cs="仿宋_GB2312"/>
          <w:b/>
          <w:sz w:val="24"/>
          <w:szCs w:val="24"/>
          <w:lang w:val="en-US" w:eastAsia="zh-CN"/>
        </w:rPr>
        <w:t>15</w:t>
      </w:r>
      <w:r>
        <w:rPr>
          <w:rFonts w:hint="eastAsia" w:ascii="仿宋_GB2312" w:hAnsi="仿宋_GB2312" w:eastAsia="仿宋_GB2312" w:cs="仿宋_GB2312"/>
          <w:b/>
          <w:sz w:val="24"/>
          <w:szCs w:val="24"/>
        </w:rPr>
        <w:t>时</w:t>
      </w:r>
      <w:r>
        <w:rPr>
          <w:rFonts w:hint="eastAsia" w:ascii="仿宋_GB2312" w:hAnsi="仿宋_GB2312" w:eastAsia="仿宋_GB2312" w:cs="仿宋_GB2312"/>
          <w:b/>
          <w:sz w:val="24"/>
          <w:szCs w:val="24"/>
          <w:lang w:val="en-US" w:eastAsia="zh-CN"/>
        </w:rPr>
        <w:t>3</w:t>
      </w:r>
      <w:r>
        <w:rPr>
          <w:rFonts w:hint="eastAsia" w:ascii="仿宋_GB2312" w:hAnsi="仿宋_GB2312" w:eastAsia="仿宋_GB2312" w:cs="仿宋_GB2312"/>
          <w:b/>
          <w:sz w:val="24"/>
          <w:szCs w:val="24"/>
        </w:rPr>
        <w:t>0分00秒；</w:t>
      </w:r>
    </w:p>
    <w:p>
      <w:pPr>
        <w:spacing w:line="56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3.开标时间：</w:t>
      </w:r>
      <w:r>
        <w:rPr>
          <w:rFonts w:hint="eastAsia" w:ascii="仿宋_GB2312" w:hAnsi="仿宋_GB2312" w:eastAsia="仿宋_GB2312" w:cs="仿宋_GB2312"/>
          <w:b/>
          <w:sz w:val="24"/>
          <w:szCs w:val="24"/>
        </w:rPr>
        <w:t>2020年</w:t>
      </w:r>
      <w:r>
        <w:rPr>
          <w:rFonts w:hint="eastAsia" w:ascii="仿宋_GB2312" w:hAnsi="仿宋_GB2312" w:eastAsia="仿宋_GB2312" w:cs="仿宋_GB2312"/>
          <w:b/>
          <w:sz w:val="24"/>
          <w:szCs w:val="24"/>
          <w:lang w:val="en-US" w:eastAsia="zh-CN"/>
        </w:rPr>
        <w:t>4</w:t>
      </w:r>
      <w:r>
        <w:rPr>
          <w:rFonts w:hint="eastAsia" w:ascii="仿宋_GB2312" w:hAnsi="仿宋_GB2312" w:eastAsia="仿宋_GB2312" w:cs="仿宋_GB2312"/>
          <w:b/>
          <w:sz w:val="24"/>
          <w:szCs w:val="24"/>
        </w:rPr>
        <w:t>月</w:t>
      </w:r>
      <w:r>
        <w:rPr>
          <w:rFonts w:hint="eastAsia" w:ascii="仿宋_GB2312" w:hAnsi="仿宋_GB2312" w:eastAsia="仿宋_GB2312" w:cs="仿宋_GB2312"/>
          <w:b/>
          <w:sz w:val="24"/>
          <w:szCs w:val="24"/>
          <w:lang w:val="en-US" w:eastAsia="zh-CN"/>
        </w:rPr>
        <w:t>3</w:t>
      </w:r>
      <w:r>
        <w:rPr>
          <w:rFonts w:hint="eastAsia" w:ascii="仿宋_GB2312" w:hAnsi="仿宋_GB2312" w:eastAsia="仿宋_GB2312" w:cs="仿宋_GB2312"/>
          <w:b/>
          <w:sz w:val="24"/>
          <w:szCs w:val="24"/>
        </w:rPr>
        <w:t>日</w:t>
      </w:r>
      <w:r>
        <w:rPr>
          <w:rFonts w:hint="eastAsia" w:ascii="仿宋_GB2312" w:hAnsi="仿宋_GB2312" w:eastAsia="仿宋_GB2312" w:cs="仿宋_GB2312"/>
          <w:b/>
          <w:sz w:val="24"/>
          <w:szCs w:val="24"/>
          <w:lang w:val="en-US" w:eastAsia="zh-CN"/>
        </w:rPr>
        <w:t>15</w:t>
      </w:r>
      <w:r>
        <w:rPr>
          <w:rFonts w:hint="eastAsia" w:ascii="仿宋_GB2312" w:hAnsi="仿宋_GB2312" w:eastAsia="仿宋_GB2312" w:cs="仿宋_GB2312"/>
          <w:b/>
          <w:sz w:val="24"/>
          <w:szCs w:val="24"/>
        </w:rPr>
        <w:t>时</w:t>
      </w:r>
      <w:r>
        <w:rPr>
          <w:rFonts w:hint="eastAsia" w:ascii="仿宋_GB2312" w:hAnsi="仿宋_GB2312" w:eastAsia="仿宋_GB2312" w:cs="仿宋_GB2312"/>
          <w:b/>
          <w:sz w:val="24"/>
          <w:szCs w:val="24"/>
          <w:lang w:val="en-US" w:eastAsia="zh-CN"/>
        </w:rPr>
        <w:t>3</w:t>
      </w:r>
      <w:r>
        <w:rPr>
          <w:rFonts w:hint="eastAsia" w:ascii="仿宋_GB2312" w:hAnsi="仿宋_GB2312" w:eastAsia="仿宋_GB2312" w:cs="仿宋_GB2312"/>
          <w:b/>
          <w:sz w:val="24"/>
          <w:szCs w:val="24"/>
        </w:rPr>
        <w:t>0分00秒；</w:t>
      </w:r>
    </w:p>
    <w:p>
      <w:pPr>
        <w:spacing w:line="56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4.投标文件递交及开标地点：盐城市文港中路128号江苏省盐城技师学院研发中心大楼1109会议室。</w:t>
      </w:r>
    </w:p>
    <w:p>
      <w:pPr>
        <w:spacing w:line="5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5.招标人可以按照规定，通过修改招标文件有权酌情延长投标截止日期，在此情况下，投标人的所有权利和义务以及投标人受制的截止日期均应以延长后新的截止日期为准。</w:t>
      </w:r>
    </w:p>
    <w:p>
      <w:pPr>
        <w:spacing w:line="560" w:lineRule="exact"/>
        <w:ind w:firstLine="480" w:firstLineChars="200"/>
      </w:pPr>
      <w:r>
        <w:rPr>
          <w:rFonts w:hint="eastAsia" w:ascii="仿宋_GB2312" w:hAnsi="仿宋_GB2312" w:eastAsia="仿宋_GB2312" w:cs="仿宋_GB2312"/>
          <w:sz w:val="24"/>
          <w:szCs w:val="24"/>
        </w:rPr>
        <w:t>6、招标（采购）资料费 200 元，投标人交纳的招标（采购）资料费，售后不退。</w:t>
      </w:r>
    </w:p>
    <w:p>
      <w:pPr>
        <w:spacing w:line="560"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七、期望得到的协助与配合</w:t>
      </w:r>
    </w:p>
    <w:p>
      <w:pPr>
        <w:adjustRightInd w:val="0"/>
        <w:snapToGrid w:val="0"/>
        <w:spacing w:line="500" w:lineRule="exact"/>
        <w:ind w:firstLine="560" w:firstLineChars="200"/>
        <w:rPr>
          <w:rFonts w:ascii="仿宋_GB2312" w:hAnsi="仿宋_GB2312" w:eastAsia="仿宋_GB2312" w:cs="仿宋_GB2312"/>
        </w:rPr>
      </w:pPr>
      <w:r>
        <w:rPr>
          <w:rFonts w:hint="eastAsia" w:ascii="仿宋_GB2312" w:hAnsi="仿宋_GB2312" w:eastAsia="仿宋_GB2312" w:cs="仿宋_GB2312"/>
          <w:color w:val="000000"/>
          <w:sz w:val="28"/>
          <w:szCs w:val="28"/>
        </w:rPr>
        <w:t>为了提高招标采购效率，节约社会交易成本及时间，希望报名并购买了招标文件，而又决定不参加本次招标的投标人，请在投标截止时间前2天书面或电话告知我们（联系人：杨老师，办公电话：0515—68661002），对于无故临时放弃投标的投标人，我校将根据情况将投标单位纳入招投标黑名单。对您的支持与配合，谨此致谢。</w:t>
      </w:r>
    </w:p>
    <w:p>
      <w:pPr>
        <w:shd w:val="clear" w:color="auto" w:fill="FFFFFF"/>
        <w:spacing w:line="500" w:lineRule="exact"/>
        <w:ind w:firstLine="482" w:firstLineChars="200"/>
      </w:pPr>
      <w:r>
        <w:rPr>
          <w:rFonts w:hint="eastAsia" w:ascii="仿宋_GB2312" w:hAnsi="仿宋_GB2312" w:eastAsia="仿宋_GB2312" w:cs="仿宋_GB2312"/>
          <w:b/>
          <w:bCs/>
          <w:color w:val="000000"/>
          <w:sz w:val="24"/>
          <w:szCs w:val="24"/>
        </w:rPr>
        <w:t>注：本项目投标人在递交投标文件时须同时递交投标保证金交款凭据，本次投标保证金以银行本票或汇票形式（提供银行本票或汇票，谢绝其他形式）缴纳，开标前带至开标现场（详见投标保证金条款的相关规定）。</w:t>
      </w:r>
    </w:p>
    <w:sectPr>
      <w:footerReference r:id="rId3" w:type="default"/>
      <w:pgSz w:w="12240" w:h="15840"/>
      <w:pgMar w:top="1440" w:right="1797" w:bottom="1440" w:left="1797" w:header="720" w:footer="720" w:gutter="0"/>
      <w:pgNumType w:start="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Cambria">
    <w:altName w:val="Palatino Linotype"/>
    <w:panose1 w:val="02040503050406030204"/>
    <w:charset w:val="00"/>
    <w:family w:val="roman"/>
    <w:pitch w:val="default"/>
    <w:sig w:usb0="00000000" w:usb1="00000000" w:usb2="00000000" w:usb3="00000000" w:csb0="0000019F" w:csb1="00000000"/>
  </w:font>
  <w:font w:name="楷体_GB2312">
    <w:panose1 w:val="02010609030101010101"/>
    <w:charset w:val="86"/>
    <w:family w:val="modern"/>
    <w:pitch w:val="default"/>
    <w:sig w:usb0="00000001" w:usb1="080E0000" w:usb2="0000000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 w:name="幼圆">
    <w:altName w:val="宋体"/>
    <w:panose1 w:val="00000000000000000000"/>
    <w:charset w:val="86"/>
    <w:family w:val="modern"/>
    <w:pitch w:val="default"/>
    <w:sig w:usb0="00000000" w:usb1="00000000" w:usb2="00000010" w:usb3="00000000" w:csb0="00040000" w:csb1="00000000"/>
  </w:font>
  <w:font w:name="Lucida Sans Unicode">
    <w:panose1 w:val="020B0602030504020204"/>
    <w:charset w:val="00"/>
    <w:family w:val="auto"/>
    <w:pitch w:val="default"/>
    <w:sig w:usb0="80001AFF" w:usb1="0000396B" w:usb2="00000000" w:usb3="00000000" w:csb0="0000003F" w:csb1="D7F70000"/>
  </w:font>
  <w:font w:name="Palatino Linotype">
    <w:panose1 w:val="02040502050505030304"/>
    <w:charset w:val="00"/>
    <w:family w:val="auto"/>
    <w:pitch w:val="default"/>
    <w:sig w:usb0="E0000387" w:usb1="40000013" w:usb2="00000000" w:usb3="00000000" w:csb0="2000019F" w:csb1="00000000"/>
  </w:font>
  <w:font w:name="??">
    <w:altName w:val="Times New Roman"/>
    <w:panose1 w:val="00000000000000000000"/>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instrText xml:space="preserve"> PAGE   \* MERGEFORMAT </w:instrText>
    </w:r>
    <w:r>
      <w:fldChar w:fldCharType="separate"/>
    </w:r>
    <w:r>
      <w:rPr>
        <w:lang w:val="zh-CN"/>
      </w:rPr>
      <w:t>37</w:t>
    </w:r>
    <w:r>
      <w:rPr>
        <w:lang w:val="zh-CN"/>
      </w:rPr>
      <w:fldChar w:fldCharType="end"/>
    </w:r>
  </w:p>
  <w:p>
    <w:pPr>
      <w:pStyle w:val="11"/>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rsids>
    <w:rsidRoot w:val="006D4B5B"/>
    <w:rsid w:val="00016F03"/>
    <w:rsid w:val="000626C1"/>
    <w:rsid w:val="00065A25"/>
    <w:rsid w:val="00065CDE"/>
    <w:rsid w:val="00067142"/>
    <w:rsid w:val="00077ED8"/>
    <w:rsid w:val="00080695"/>
    <w:rsid w:val="000A3ADD"/>
    <w:rsid w:val="000C7A28"/>
    <w:rsid w:val="0010270C"/>
    <w:rsid w:val="001168A3"/>
    <w:rsid w:val="001645D3"/>
    <w:rsid w:val="001D26B8"/>
    <w:rsid w:val="001D373F"/>
    <w:rsid w:val="001E6468"/>
    <w:rsid w:val="00200963"/>
    <w:rsid w:val="0020207E"/>
    <w:rsid w:val="0020217F"/>
    <w:rsid w:val="0022787A"/>
    <w:rsid w:val="0028113C"/>
    <w:rsid w:val="002B000B"/>
    <w:rsid w:val="002C57CB"/>
    <w:rsid w:val="00313157"/>
    <w:rsid w:val="00322776"/>
    <w:rsid w:val="0032353A"/>
    <w:rsid w:val="0032517D"/>
    <w:rsid w:val="003352FC"/>
    <w:rsid w:val="00373C2B"/>
    <w:rsid w:val="003A788A"/>
    <w:rsid w:val="00416369"/>
    <w:rsid w:val="00421D47"/>
    <w:rsid w:val="0042306C"/>
    <w:rsid w:val="00451BFF"/>
    <w:rsid w:val="00453CB6"/>
    <w:rsid w:val="00454A28"/>
    <w:rsid w:val="0045545C"/>
    <w:rsid w:val="00455AEF"/>
    <w:rsid w:val="00470E6F"/>
    <w:rsid w:val="00477DD5"/>
    <w:rsid w:val="004A0F75"/>
    <w:rsid w:val="004A337E"/>
    <w:rsid w:val="004A502C"/>
    <w:rsid w:val="005007AF"/>
    <w:rsid w:val="0053042B"/>
    <w:rsid w:val="00553BDC"/>
    <w:rsid w:val="00592076"/>
    <w:rsid w:val="005A62A3"/>
    <w:rsid w:val="005C5819"/>
    <w:rsid w:val="005F34A2"/>
    <w:rsid w:val="0060268C"/>
    <w:rsid w:val="00617740"/>
    <w:rsid w:val="0062205E"/>
    <w:rsid w:val="00655F41"/>
    <w:rsid w:val="00676EF7"/>
    <w:rsid w:val="006D4B5B"/>
    <w:rsid w:val="006E2554"/>
    <w:rsid w:val="006E400E"/>
    <w:rsid w:val="0071474A"/>
    <w:rsid w:val="007323B2"/>
    <w:rsid w:val="007451C1"/>
    <w:rsid w:val="00776FDD"/>
    <w:rsid w:val="00791A74"/>
    <w:rsid w:val="007C39A6"/>
    <w:rsid w:val="007D3975"/>
    <w:rsid w:val="007D4EDF"/>
    <w:rsid w:val="00800C97"/>
    <w:rsid w:val="0080297B"/>
    <w:rsid w:val="008074C2"/>
    <w:rsid w:val="00867FD4"/>
    <w:rsid w:val="00874894"/>
    <w:rsid w:val="00874D4A"/>
    <w:rsid w:val="0088054A"/>
    <w:rsid w:val="00885F9E"/>
    <w:rsid w:val="008A34B0"/>
    <w:rsid w:val="008A43E3"/>
    <w:rsid w:val="008D0762"/>
    <w:rsid w:val="008D0FC7"/>
    <w:rsid w:val="008E6567"/>
    <w:rsid w:val="00907B39"/>
    <w:rsid w:val="009216E0"/>
    <w:rsid w:val="0096463D"/>
    <w:rsid w:val="00984BD9"/>
    <w:rsid w:val="009B7C82"/>
    <w:rsid w:val="009C18DE"/>
    <w:rsid w:val="009F3EDA"/>
    <w:rsid w:val="009F5060"/>
    <w:rsid w:val="00A506EE"/>
    <w:rsid w:val="00A60DDC"/>
    <w:rsid w:val="00AF24DC"/>
    <w:rsid w:val="00B3363B"/>
    <w:rsid w:val="00B457AA"/>
    <w:rsid w:val="00B908D2"/>
    <w:rsid w:val="00B94866"/>
    <w:rsid w:val="00B95D23"/>
    <w:rsid w:val="00BD7FCA"/>
    <w:rsid w:val="00BF0B04"/>
    <w:rsid w:val="00CB4E55"/>
    <w:rsid w:val="00CC7E72"/>
    <w:rsid w:val="00CE4ACB"/>
    <w:rsid w:val="00CE739C"/>
    <w:rsid w:val="00D034BC"/>
    <w:rsid w:val="00D81317"/>
    <w:rsid w:val="00DC2E05"/>
    <w:rsid w:val="00DC50B8"/>
    <w:rsid w:val="00DE62AC"/>
    <w:rsid w:val="00E55163"/>
    <w:rsid w:val="00E64775"/>
    <w:rsid w:val="00EB5AE6"/>
    <w:rsid w:val="00F0420E"/>
    <w:rsid w:val="00F05170"/>
    <w:rsid w:val="00F13EE4"/>
    <w:rsid w:val="00F46837"/>
    <w:rsid w:val="00F51A76"/>
    <w:rsid w:val="00F80F1C"/>
    <w:rsid w:val="00FB07FD"/>
    <w:rsid w:val="00FB244C"/>
    <w:rsid w:val="00FC1D16"/>
    <w:rsid w:val="00FE2BDC"/>
    <w:rsid w:val="00FE6A52"/>
    <w:rsid w:val="081D2A2E"/>
    <w:rsid w:val="0F1371CB"/>
    <w:rsid w:val="145F08AF"/>
    <w:rsid w:val="15AE7389"/>
    <w:rsid w:val="26C408A5"/>
    <w:rsid w:val="28257C49"/>
    <w:rsid w:val="364D701A"/>
    <w:rsid w:val="368D7E0C"/>
    <w:rsid w:val="42EB2124"/>
    <w:rsid w:val="46BE1A95"/>
    <w:rsid w:val="537F02B8"/>
    <w:rsid w:val="568446B5"/>
    <w:rsid w:val="5B846ED2"/>
    <w:rsid w:val="60E36F07"/>
    <w:rsid w:val="6A18291A"/>
    <w:rsid w:val="6D8A2E75"/>
    <w:rsid w:val="7146778A"/>
    <w:rsid w:val="71676D8E"/>
    <w:rsid w:val="795B119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iPriority="1" w:name="Default Paragraph Font"/>
    <w:lsdException w:qFormat="1" w:unhideWhenUsed="0" w:uiPriority="99" w:name="Body Text"/>
    <w:lsdException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qFormat="1" w:unhideWhenUsed="0" w:uiPriority="99" w:semiHidden="0" w:name="Body Text First Indent"/>
    <w:lsdException w:unhideWhenUsed="0"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link w:val="23"/>
    <w:qFormat/>
    <w:uiPriority w:val="99"/>
    <w:pPr>
      <w:autoSpaceDE w:val="0"/>
      <w:autoSpaceDN w:val="0"/>
      <w:adjustRightInd w:val="0"/>
      <w:jc w:val="left"/>
      <w:outlineLvl w:val="0"/>
    </w:pPr>
    <w:rPr>
      <w:rFonts w:ascii="Times New Roman" w:hAnsi="Times New Roman"/>
      <w:kern w:val="0"/>
      <w:sz w:val="24"/>
      <w:szCs w:val="24"/>
    </w:rPr>
  </w:style>
  <w:style w:type="paragraph" w:styleId="5">
    <w:name w:val="heading 2"/>
    <w:basedOn w:val="1"/>
    <w:next w:val="1"/>
    <w:link w:val="24"/>
    <w:qFormat/>
    <w:uiPriority w:val="99"/>
    <w:pPr>
      <w:autoSpaceDE w:val="0"/>
      <w:autoSpaceDN w:val="0"/>
      <w:adjustRightInd w:val="0"/>
      <w:jc w:val="left"/>
      <w:outlineLvl w:val="1"/>
    </w:pPr>
    <w:rPr>
      <w:rFonts w:ascii="Times New Roman" w:hAnsi="Times New Roman"/>
      <w:kern w:val="0"/>
      <w:sz w:val="24"/>
      <w:szCs w:val="24"/>
    </w:rPr>
  </w:style>
  <w:style w:type="paragraph" w:styleId="6">
    <w:name w:val="heading 3"/>
    <w:basedOn w:val="1"/>
    <w:next w:val="1"/>
    <w:link w:val="25"/>
    <w:qFormat/>
    <w:uiPriority w:val="99"/>
    <w:pPr>
      <w:autoSpaceDE w:val="0"/>
      <w:autoSpaceDN w:val="0"/>
      <w:adjustRightInd w:val="0"/>
      <w:jc w:val="left"/>
      <w:outlineLvl w:val="2"/>
    </w:pPr>
    <w:rPr>
      <w:rFonts w:ascii="Times New Roman" w:hAnsi="Times New Roman"/>
      <w:kern w:val="0"/>
      <w:sz w:val="24"/>
      <w:szCs w:val="24"/>
    </w:rPr>
  </w:style>
  <w:style w:type="paragraph" w:styleId="7">
    <w:name w:val="heading 4"/>
    <w:basedOn w:val="1"/>
    <w:next w:val="1"/>
    <w:link w:val="26"/>
    <w:qFormat/>
    <w:uiPriority w:val="99"/>
    <w:pPr>
      <w:autoSpaceDE w:val="0"/>
      <w:autoSpaceDN w:val="0"/>
      <w:adjustRightInd w:val="0"/>
      <w:jc w:val="left"/>
      <w:outlineLvl w:val="3"/>
    </w:pPr>
    <w:rPr>
      <w:rFonts w:ascii="Times New Roman" w:hAnsi="Times New Roman"/>
      <w:kern w:val="0"/>
      <w:sz w:val="24"/>
      <w:szCs w:val="24"/>
    </w:rPr>
  </w:style>
  <w:style w:type="character" w:default="1" w:styleId="18">
    <w:name w:val="Default Paragraph Font"/>
    <w:semiHidden/>
    <w:unhideWhenUsed/>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53"/>
    <w:qFormat/>
    <w:uiPriority w:val="99"/>
    <w:pPr>
      <w:ind w:firstLine="420" w:firstLineChars="100"/>
    </w:pPr>
  </w:style>
  <w:style w:type="paragraph" w:styleId="3">
    <w:name w:val="Body Text"/>
    <w:basedOn w:val="1"/>
    <w:link w:val="52"/>
    <w:semiHidden/>
    <w:qFormat/>
    <w:uiPriority w:val="99"/>
    <w:pPr>
      <w:spacing w:after="120"/>
    </w:pPr>
  </w:style>
  <w:style w:type="paragraph" w:styleId="8">
    <w:name w:val="Body Text Indent"/>
    <w:basedOn w:val="1"/>
    <w:link w:val="38"/>
    <w:uiPriority w:val="99"/>
    <w:pPr>
      <w:spacing w:after="120"/>
      <w:ind w:left="420" w:leftChars="200"/>
    </w:pPr>
  </w:style>
  <w:style w:type="paragraph" w:styleId="9">
    <w:name w:val="Date"/>
    <w:basedOn w:val="1"/>
    <w:next w:val="1"/>
    <w:link w:val="36"/>
    <w:qFormat/>
    <w:uiPriority w:val="99"/>
    <w:pPr>
      <w:ind w:left="100" w:leftChars="2500"/>
    </w:pPr>
  </w:style>
  <w:style w:type="paragraph" w:styleId="10">
    <w:name w:val="Balloon Text"/>
    <w:basedOn w:val="1"/>
    <w:link w:val="54"/>
    <w:semiHidden/>
    <w:unhideWhenUsed/>
    <w:qFormat/>
    <w:uiPriority w:val="99"/>
    <w:rPr>
      <w:sz w:val="18"/>
      <w:szCs w:val="18"/>
    </w:rPr>
  </w:style>
  <w:style w:type="paragraph" w:styleId="11">
    <w:name w:val="footer"/>
    <w:basedOn w:val="1"/>
    <w:link w:val="35"/>
    <w:qFormat/>
    <w:uiPriority w:val="99"/>
    <w:pPr>
      <w:tabs>
        <w:tab w:val="center" w:pos="4153"/>
        <w:tab w:val="right" w:pos="8306"/>
      </w:tabs>
      <w:snapToGrid w:val="0"/>
      <w:jc w:val="left"/>
    </w:pPr>
    <w:rPr>
      <w:kern w:val="0"/>
      <w:sz w:val="18"/>
      <w:szCs w:val="18"/>
    </w:rPr>
  </w:style>
  <w:style w:type="paragraph" w:styleId="12">
    <w:name w:val="header"/>
    <w:basedOn w:val="1"/>
    <w:link w:val="33"/>
    <w:uiPriority w:val="99"/>
    <w:pPr>
      <w:pBdr>
        <w:bottom w:val="single" w:color="auto" w:sz="6" w:space="1"/>
      </w:pBdr>
      <w:tabs>
        <w:tab w:val="center" w:pos="4153"/>
        <w:tab w:val="right" w:pos="8306"/>
      </w:tabs>
      <w:snapToGrid w:val="0"/>
      <w:jc w:val="center"/>
    </w:pPr>
    <w:rPr>
      <w:kern w:val="0"/>
      <w:sz w:val="18"/>
      <w:szCs w:val="18"/>
    </w:rPr>
  </w:style>
  <w:style w:type="paragraph" w:styleId="13">
    <w:name w:val="Normal (Web)"/>
    <w:basedOn w:val="1"/>
    <w:uiPriority w:val="99"/>
    <w:pPr>
      <w:widowControl/>
      <w:spacing w:before="100" w:beforeAutospacing="1" w:after="100" w:afterAutospacing="1" w:line="312" w:lineRule="auto"/>
      <w:jc w:val="left"/>
    </w:pPr>
    <w:rPr>
      <w:rFonts w:ascii="宋体" w:hAnsi="宋体" w:cs="宋体"/>
      <w:kern w:val="0"/>
      <w:sz w:val="24"/>
      <w:szCs w:val="24"/>
    </w:rPr>
  </w:style>
  <w:style w:type="paragraph" w:styleId="14">
    <w:name w:val="Title"/>
    <w:basedOn w:val="1"/>
    <w:next w:val="1"/>
    <w:link w:val="49"/>
    <w:qFormat/>
    <w:uiPriority w:val="99"/>
    <w:pPr>
      <w:spacing w:before="240" w:after="60"/>
      <w:jc w:val="center"/>
      <w:outlineLvl w:val="0"/>
    </w:pPr>
    <w:rPr>
      <w:rFonts w:ascii="Cambria" w:hAnsi="Cambria"/>
      <w:b/>
      <w:bCs/>
      <w:kern w:val="0"/>
      <w:sz w:val="32"/>
      <w:szCs w:val="32"/>
    </w:rPr>
  </w:style>
  <w:style w:type="paragraph" w:styleId="15">
    <w:name w:val="Body Text First Indent 2"/>
    <w:basedOn w:val="8"/>
    <w:link w:val="51"/>
    <w:semiHidden/>
    <w:uiPriority w:val="99"/>
    <w:pPr>
      <w:ind w:firstLine="420" w:firstLineChars="200"/>
    </w:pPr>
  </w:style>
  <w:style w:type="table" w:styleId="17">
    <w:name w:val="Table Grid"/>
    <w:basedOn w:val="16"/>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9">
    <w:name w:val="标题 1 Char1"/>
    <w:basedOn w:val="18"/>
    <w:link w:val="4"/>
    <w:qFormat/>
    <w:locked/>
    <w:uiPriority w:val="99"/>
    <w:rPr>
      <w:rFonts w:ascii="Times New Roman" w:hAnsi="Times New Roman" w:eastAsia="宋体"/>
      <w:kern w:val="0"/>
      <w:sz w:val="24"/>
    </w:rPr>
  </w:style>
  <w:style w:type="character" w:customStyle="1" w:styleId="20">
    <w:name w:val="标题 2 Char1"/>
    <w:basedOn w:val="18"/>
    <w:link w:val="5"/>
    <w:locked/>
    <w:uiPriority w:val="99"/>
    <w:rPr>
      <w:rFonts w:ascii="Times New Roman" w:hAnsi="Times New Roman" w:eastAsia="宋体"/>
      <w:kern w:val="0"/>
      <w:sz w:val="24"/>
    </w:rPr>
  </w:style>
  <w:style w:type="character" w:customStyle="1" w:styleId="21">
    <w:name w:val="标题 3 Char1"/>
    <w:basedOn w:val="18"/>
    <w:link w:val="6"/>
    <w:locked/>
    <w:uiPriority w:val="99"/>
    <w:rPr>
      <w:rFonts w:ascii="Times New Roman" w:hAnsi="Times New Roman" w:eastAsia="宋体"/>
      <w:kern w:val="0"/>
      <w:sz w:val="24"/>
    </w:rPr>
  </w:style>
  <w:style w:type="character" w:customStyle="1" w:styleId="22">
    <w:name w:val="标题 4 Char1"/>
    <w:basedOn w:val="18"/>
    <w:link w:val="7"/>
    <w:locked/>
    <w:uiPriority w:val="99"/>
    <w:rPr>
      <w:rFonts w:ascii="Times New Roman" w:hAnsi="Times New Roman" w:eastAsia="宋体"/>
      <w:kern w:val="0"/>
      <w:sz w:val="24"/>
    </w:rPr>
  </w:style>
  <w:style w:type="character" w:customStyle="1" w:styleId="23">
    <w:name w:val="标题 1 Char"/>
    <w:basedOn w:val="18"/>
    <w:link w:val="4"/>
    <w:locked/>
    <w:uiPriority w:val="99"/>
    <w:rPr>
      <w:rFonts w:ascii="Calibri" w:hAnsi="Calibri" w:eastAsia="宋体" w:cs="Times New Roman"/>
      <w:b/>
      <w:bCs/>
      <w:kern w:val="44"/>
      <w:sz w:val="44"/>
      <w:szCs w:val="44"/>
    </w:rPr>
  </w:style>
  <w:style w:type="character" w:customStyle="1" w:styleId="24">
    <w:name w:val="标题 2 Char"/>
    <w:basedOn w:val="18"/>
    <w:link w:val="5"/>
    <w:semiHidden/>
    <w:qFormat/>
    <w:locked/>
    <w:uiPriority w:val="99"/>
    <w:rPr>
      <w:rFonts w:ascii="Cambria" w:hAnsi="Cambria" w:eastAsia="宋体" w:cs="Times New Roman"/>
      <w:b/>
      <w:bCs/>
      <w:sz w:val="32"/>
      <w:szCs w:val="32"/>
    </w:rPr>
  </w:style>
  <w:style w:type="character" w:customStyle="1" w:styleId="25">
    <w:name w:val="标题 3 Char"/>
    <w:basedOn w:val="18"/>
    <w:link w:val="6"/>
    <w:semiHidden/>
    <w:qFormat/>
    <w:locked/>
    <w:uiPriority w:val="99"/>
    <w:rPr>
      <w:rFonts w:ascii="Calibri" w:hAnsi="Calibri" w:eastAsia="宋体" w:cs="Times New Roman"/>
      <w:b/>
      <w:bCs/>
      <w:sz w:val="32"/>
      <w:szCs w:val="32"/>
    </w:rPr>
  </w:style>
  <w:style w:type="character" w:customStyle="1" w:styleId="26">
    <w:name w:val="标题 4 Char"/>
    <w:basedOn w:val="18"/>
    <w:link w:val="7"/>
    <w:semiHidden/>
    <w:qFormat/>
    <w:locked/>
    <w:uiPriority w:val="99"/>
    <w:rPr>
      <w:rFonts w:ascii="Cambria" w:hAnsi="Cambria" w:eastAsia="宋体" w:cs="Times New Roman"/>
      <w:b/>
      <w:bCs/>
      <w:sz w:val="28"/>
      <w:szCs w:val="28"/>
    </w:rPr>
  </w:style>
  <w:style w:type="character" w:customStyle="1" w:styleId="27">
    <w:name w:val="Body Text Indent Char"/>
    <w:qFormat/>
    <w:locked/>
    <w:uiPriority w:val="99"/>
  </w:style>
  <w:style w:type="character" w:customStyle="1" w:styleId="28">
    <w:name w:val="正文首行缩进 2 字符"/>
    <w:basedOn w:val="27"/>
    <w:semiHidden/>
    <w:qFormat/>
    <w:uiPriority w:val="99"/>
    <w:rPr>
      <w:rFonts w:cs="Times New Roman"/>
    </w:rPr>
  </w:style>
  <w:style w:type="character" w:customStyle="1" w:styleId="29">
    <w:name w:val="Body Text First Indent 2 Char"/>
    <w:qFormat/>
    <w:locked/>
    <w:uiPriority w:val="99"/>
    <w:rPr>
      <w:kern w:val="2"/>
      <w:sz w:val="22"/>
    </w:rPr>
  </w:style>
  <w:style w:type="character" w:customStyle="1" w:styleId="30">
    <w:name w:val="Header Char"/>
    <w:locked/>
    <w:uiPriority w:val="99"/>
    <w:rPr>
      <w:sz w:val="18"/>
    </w:rPr>
  </w:style>
  <w:style w:type="character" w:customStyle="1" w:styleId="31">
    <w:name w:val="Footer Char"/>
    <w:locked/>
    <w:uiPriority w:val="99"/>
    <w:rPr>
      <w:sz w:val="18"/>
    </w:rPr>
  </w:style>
  <w:style w:type="character" w:customStyle="1" w:styleId="32">
    <w:name w:val="Header Char1"/>
    <w:basedOn w:val="18"/>
    <w:link w:val="12"/>
    <w:semiHidden/>
    <w:uiPriority w:val="99"/>
    <w:rPr>
      <w:sz w:val="18"/>
      <w:szCs w:val="18"/>
    </w:rPr>
  </w:style>
  <w:style w:type="character" w:customStyle="1" w:styleId="33">
    <w:name w:val="页眉 Char"/>
    <w:basedOn w:val="18"/>
    <w:link w:val="12"/>
    <w:semiHidden/>
    <w:locked/>
    <w:uiPriority w:val="99"/>
    <w:rPr>
      <w:rFonts w:ascii="Calibri" w:hAnsi="Calibri" w:eastAsia="宋体" w:cs="Times New Roman"/>
      <w:sz w:val="18"/>
      <w:szCs w:val="18"/>
    </w:rPr>
  </w:style>
  <w:style w:type="character" w:customStyle="1" w:styleId="34">
    <w:name w:val="Footer Char1"/>
    <w:basedOn w:val="18"/>
    <w:link w:val="11"/>
    <w:semiHidden/>
    <w:uiPriority w:val="99"/>
    <w:rPr>
      <w:sz w:val="18"/>
      <w:szCs w:val="18"/>
    </w:rPr>
  </w:style>
  <w:style w:type="character" w:customStyle="1" w:styleId="35">
    <w:name w:val="页脚 Char"/>
    <w:basedOn w:val="18"/>
    <w:link w:val="11"/>
    <w:semiHidden/>
    <w:locked/>
    <w:uiPriority w:val="99"/>
    <w:rPr>
      <w:rFonts w:ascii="Calibri" w:hAnsi="Calibri" w:eastAsia="宋体" w:cs="Times New Roman"/>
      <w:sz w:val="18"/>
      <w:szCs w:val="18"/>
    </w:rPr>
  </w:style>
  <w:style w:type="character" w:customStyle="1" w:styleId="36">
    <w:name w:val="日期 Char"/>
    <w:basedOn w:val="18"/>
    <w:link w:val="9"/>
    <w:locked/>
    <w:uiPriority w:val="99"/>
    <w:rPr>
      <w:rFonts w:ascii="Calibri" w:hAnsi="Calibri" w:eastAsia="宋体" w:cs="Times New Roman"/>
    </w:rPr>
  </w:style>
  <w:style w:type="character" w:customStyle="1" w:styleId="37">
    <w:name w:val="Body Text Indent Char1"/>
    <w:basedOn w:val="18"/>
    <w:link w:val="8"/>
    <w:semiHidden/>
    <w:uiPriority w:val="99"/>
  </w:style>
  <w:style w:type="character" w:customStyle="1" w:styleId="38">
    <w:name w:val="正文文本缩进 Char"/>
    <w:basedOn w:val="18"/>
    <w:link w:val="8"/>
    <w:semiHidden/>
    <w:locked/>
    <w:uiPriority w:val="99"/>
    <w:rPr>
      <w:rFonts w:ascii="Calibri" w:hAnsi="Calibri" w:eastAsia="宋体" w:cs="Times New Roman"/>
    </w:rPr>
  </w:style>
  <w:style w:type="paragraph" w:customStyle="1" w:styleId="39">
    <w:name w:val="样式"/>
    <w:basedOn w:val="1"/>
    <w:next w:val="40"/>
    <w:uiPriority w:val="99"/>
    <w:pPr>
      <w:ind w:firstLine="420" w:firstLineChars="200"/>
    </w:pPr>
  </w:style>
  <w:style w:type="paragraph" w:styleId="40">
    <w:name w:val="List Paragraph"/>
    <w:basedOn w:val="1"/>
    <w:qFormat/>
    <w:uiPriority w:val="99"/>
    <w:pPr>
      <w:ind w:firstLine="420" w:firstLineChars="200"/>
    </w:pPr>
  </w:style>
  <w:style w:type="paragraph" w:customStyle="1" w:styleId="41">
    <w:name w:val="列出段落3"/>
    <w:basedOn w:val="1"/>
    <w:uiPriority w:val="99"/>
    <w:pPr>
      <w:ind w:firstLine="420" w:firstLineChars="200"/>
    </w:pPr>
  </w:style>
  <w:style w:type="paragraph" w:customStyle="1" w:styleId="42">
    <w:name w:val="列出段落11"/>
    <w:basedOn w:val="1"/>
    <w:uiPriority w:val="99"/>
    <w:pPr>
      <w:ind w:firstLine="420" w:firstLineChars="200"/>
    </w:pPr>
    <w:rPr>
      <w:rFonts w:ascii="Times New Roman" w:hAnsi="Times New Roman"/>
      <w:szCs w:val="24"/>
    </w:rPr>
  </w:style>
  <w:style w:type="paragraph" w:customStyle="1" w:styleId="43">
    <w:name w:val="列出段落1"/>
    <w:basedOn w:val="1"/>
    <w:uiPriority w:val="99"/>
    <w:pPr>
      <w:ind w:firstLine="420" w:firstLineChars="200"/>
    </w:pPr>
  </w:style>
  <w:style w:type="paragraph" w:customStyle="1" w:styleId="44">
    <w:name w:val="p0"/>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45">
    <w:name w:val="Defaul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46">
    <w:name w:val="List Paragraph2"/>
    <w:basedOn w:val="1"/>
    <w:uiPriority w:val="99"/>
    <w:pPr>
      <w:ind w:firstLine="420" w:firstLineChars="200"/>
    </w:pPr>
    <w:rPr>
      <w:szCs w:val="24"/>
    </w:rPr>
  </w:style>
  <w:style w:type="paragraph" w:customStyle="1" w:styleId="47">
    <w:name w:val="列出段落4"/>
    <w:basedOn w:val="1"/>
    <w:uiPriority w:val="99"/>
    <w:pPr>
      <w:ind w:firstLine="420" w:firstLineChars="200"/>
    </w:pPr>
    <w:rPr>
      <w:rFonts w:ascii="Times New Roman" w:hAnsi="Times New Roman"/>
      <w:szCs w:val="24"/>
    </w:rPr>
  </w:style>
  <w:style w:type="character" w:customStyle="1" w:styleId="48">
    <w:name w:val="标题 Char1"/>
    <w:basedOn w:val="18"/>
    <w:link w:val="14"/>
    <w:locked/>
    <w:uiPriority w:val="99"/>
    <w:rPr>
      <w:rFonts w:ascii="Cambria" w:hAnsi="Cambria" w:eastAsia="宋体"/>
      <w:b/>
      <w:sz w:val="32"/>
    </w:rPr>
  </w:style>
  <w:style w:type="character" w:customStyle="1" w:styleId="49">
    <w:name w:val="标题 Char"/>
    <w:basedOn w:val="18"/>
    <w:link w:val="14"/>
    <w:locked/>
    <w:uiPriority w:val="99"/>
    <w:rPr>
      <w:rFonts w:ascii="Cambria" w:hAnsi="Cambria" w:eastAsia="宋体" w:cs="Times New Roman"/>
      <w:b/>
      <w:bCs/>
      <w:sz w:val="32"/>
      <w:szCs w:val="32"/>
    </w:rPr>
  </w:style>
  <w:style w:type="character" w:customStyle="1" w:styleId="50">
    <w:name w:val="Body Text First Indent 2 Char1"/>
    <w:basedOn w:val="38"/>
    <w:link w:val="15"/>
    <w:semiHidden/>
    <w:uiPriority w:val="99"/>
  </w:style>
  <w:style w:type="character" w:customStyle="1" w:styleId="51">
    <w:name w:val="正文首行缩进 2 Char"/>
    <w:basedOn w:val="38"/>
    <w:link w:val="15"/>
    <w:semiHidden/>
    <w:locked/>
    <w:uiPriority w:val="99"/>
  </w:style>
  <w:style w:type="character" w:customStyle="1" w:styleId="52">
    <w:name w:val="正文文本 Char"/>
    <w:basedOn w:val="18"/>
    <w:link w:val="3"/>
    <w:semiHidden/>
    <w:locked/>
    <w:uiPriority w:val="99"/>
    <w:rPr>
      <w:rFonts w:ascii="Calibri" w:hAnsi="Calibri" w:eastAsia="宋体" w:cs="Times New Roman"/>
    </w:rPr>
  </w:style>
  <w:style w:type="character" w:customStyle="1" w:styleId="53">
    <w:name w:val="正文首行缩进 Char"/>
    <w:basedOn w:val="52"/>
    <w:link w:val="2"/>
    <w:locked/>
    <w:uiPriority w:val="99"/>
  </w:style>
  <w:style w:type="character" w:customStyle="1" w:styleId="54">
    <w:name w:val="批注框文本 Char"/>
    <w:basedOn w:val="18"/>
    <w:link w:val="10"/>
    <w:semiHidden/>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49</Pages>
  <Words>3614</Words>
  <Characters>20601</Characters>
  <Lines>171</Lines>
  <Paragraphs>48</Paragraphs>
  <TotalTime>3</TotalTime>
  <ScaleCrop>false</ScaleCrop>
  <LinksUpToDate>false</LinksUpToDate>
  <CharactersWithSpaces>24167</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2020-03-27T02:00:00Z</dcterms:created>
  <dc:creator>My</dc:creator>
  <cp:lastModifiedBy>有</cp:lastModifiedBy>
  <cp:lastPrinted>2020-03-27T06:58:00Z</cp:lastPrinted>
  <dcterms:modified xsi:type="dcterms:W3CDTF">2020-03-27T09:18:34Z</dcterms:modified>
  <cp:revision>213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