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22</w:t>
      </w:r>
      <w:r>
        <w:rPr>
          <w:rFonts w:ascii="楷体_GB2312" w:hAnsi="楷体_GB2312" w:eastAsia="楷体_GB2312" w:cs="楷体_GB2312"/>
          <w:b/>
          <w:bCs/>
          <w:color w:val="000000"/>
          <w:sz w:val="36"/>
          <w:szCs w:val="36"/>
          <w:u w:val="single"/>
        </w:rPr>
        <w:t>#</w:t>
      </w:r>
      <w:r>
        <w:rPr>
          <w:rFonts w:ascii="楷体_GB2312" w:hAnsi="楷体_GB2312" w:eastAsia="楷体_GB2312" w:cs="楷体_GB2312"/>
          <w:b/>
          <w:bCs/>
          <w:color w:val="000000"/>
          <w:sz w:val="36"/>
          <w:szCs w:val="36"/>
          <w:u w:val="none"/>
        </w:rPr>
        <w:t xml:space="preserve">        </w:t>
      </w:r>
    </w:p>
    <w:p>
      <w:pPr>
        <w:ind w:left="1843" w:hanging="1843" w:hangingChars="510"/>
        <w:rPr>
          <w:rFonts w:ascii="楷体_GB2312" w:hAnsi="楷体_GB2312" w:cs="Times New Roman"/>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电气装置项目电源等实训设备</w:t>
      </w:r>
    </w:p>
    <w:p>
      <w:pPr>
        <w:rPr>
          <w:rFonts w:ascii="宋体" w:eastAsia="PMingLiU" w:cs="Times New Roman"/>
          <w:b/>
          <w:bCs/>
          <w:color w:val="000000"/>
          <w:sz w:val="36"/>
          <w:szCs w:val="36"/>
          <w:lang w:eastAsia="zh-TW"/>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r>
        <w:rPr>
          <w:rFonts w:hint="eastAsia" w:ascii="楷体_GB2312" w:hAnsi="楷体_GB2312" w:eastAsia="楷体_GB2312" w:cs="楷体_GB2312"/>
          <w:b/>
          <w:bCs/>
          <w:color w:val="000000"/>
          <w:sz w:val="36"/>
          <w:szCs w:val="36"/>
          <w:u w:val="none"/>
          <w:lang w:val="zh-TW"/>
        </w:rPr>
        <w:t xml:space="preserve"> </w:t>
      </w:r>
      <w:r>
        <w:rPr>
          <w:rFonts w:ascii="楷体_GB2312" w:hAnsi="楷体_GB2312" w:eastAsia="PMingLiU" w:cs="楷体_GB2312"/>
          <w:b/>
          <w:bCs/>
          <w:color w:val="000000"/>
          <w:sz w:val="36"/>
          <w:szCs w:val="36"/>
          <w:u w:val="none"/>
          <w:lang w:val="zh-TW" w:eastAsia="zh-TW"/>
        </w:rPr>
        <w:t xml:space="preserve">       </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pStyle w:val="2"/>
        <w:ind w:firstLine="210"/>
        <w:rPr>
          <w:lang w:val="zh-TW"/>
        </w:rPr>
      </w:pPr>
    </w:p>
    <w:p>
      <w:pPr>
        <w:pStyle w:val="2"/>
        <w:ind w:firstLine="210"/>
        <w:rPr>
          <w:lang w:val="zh-TW"/>
        </w:rPr>
      </w:pPr>
    </w:p>
    <w:p>
      <w:pPr>
        <w:pStyle w:val="2"/>
        <w:ind w:firstLine="210"/>
        <w:rPr>
          <w:lang w:val="zh-TW" w:eastAsia="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20年4月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left="0" w:leftChars="0" w:firstLine="0" w:firstLineChars="0"/>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电气装置项目电源等实训设备</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电气装置项目电源等实训设备，具体型号、数量如下：</w:t>
      </w:r>
    </w:p>
    <w:tbl>
      <w:tblPr>
        <w:tblStyle w:val="10"/>
        <w:tblW w:w="8976" w:type="dxa"/>
        <w:jc w:val="center"/>
        <w:tblLayout w:type="autofit"/>
        <w:tblCellMar>
          <w:top w:w="0" w:type="dxa"/>
          <w:left w:w="108" w:type="dxa"/>
          <w:bottom w:w="0" w:type="dxa"/>
          <w:right w:w="108" w:type="dxa"/>
        </w:tblCellMar>
      </w:tblPr>
      <w:tblGrid>
        <w:gridCol w:w="680"/>
        <w:gridCol w:w="1940"/>
        <w:gridCol w:w="2630"/>
        <w:gridCol w:w="680"/>
        <w:gridCol w:w="680"/>
        <w:gridCol w:w="878"/>
        <w:gridCol w:w="849"/>
        <w:gridCol w:w="669"/>
      </w:tblGrid>
      <w:tr>
        <w:tblPrEx>
          <w:tblCellMar>
            <w:top w:w="0" w:type="dxa"/>
            <w:left w:w="108" w:type="dxa"/>
            <w:bottom w:w="0" w:type="dxa"/>
            <w:right w:w="108" w:type="dxa"/>
          </w:tblCellMar>
        </w:tblPrEx>
        <w:trPr>
          <w:trHeight w:val="39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序号</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名称</w:t>
            </w:r>
          </w:p>
        </w:tc>
        <w:tc>
          <w:tcPr>
            <w:tcW w:w="26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型号/规格</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单位</w:t>
            </w:r>
          </w:p>
        </w:tc>
        <w:tc>
          <w:tcPr>
            <w:tcW w:w="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数量</w:t>
            </w:r>
          </w:p>
        </w:tc>
        <w:tc>
          <w:tcPr>
            <w:tcW w:w="8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单价</w:t>
            </w:r>
          </w:p>
        </w:tc>
        <w:tc>
          <w:tcPr>
            <w:tcW w:w="8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金额</w:t>
            </w:r>
          </w:p>
          <w:p>
            <w:pPr>
              <w:widowControl/>
              <w:jc w:val="center"/>
              <w:rPr>
                <w:rFonts w:ascii="新宋体" w:hAnsi="新宋体" w:eastAsia="新宋体" w:cs="Tahoma"/>
                <w:b/>
                <w:bCs/>
                <w:kern w:val="0"/>
              </w:rPr>
            </w:pPr>
            <w:r>
              <w:rPr>
                <w:rFonts w:hint="eastAsia" w:ascii="新宋体" w:hAnsi="新宋体" w:eastAsia="新宋体" w:cs="Tahoma"/>
                <w:b/>
                <w:bCs/>
                <w:kern w:val="0"/>
              </w:rPr>
              <w:t>（元）</w:t>
            </w:r>
          </w:p>
        </w:tc>
        <w:tc>
          <w:tcPr>
            <w:tcW w:w="6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b/>
                <w:bCs/>
                <w:kern w:val="0"/>
              </w:rPr>
            </w:pPr>
            <w:r>
              <w:rPr>
                <w:rFonts w:hint="eastAsia" w:ascii="新宋体" w:hAnsi="新宋体" w:eastAsia="新宋体" w:cs="Tahoma"/>
                <w:b/>
                <w:bCs/>
                <w:kern w:val="0"/>
              </w:rPr>
              <w:t>备注</w:t>
            </w: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KNX电源</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ABB，SV/S 30.160.1.1</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ABB两路调光</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ABB，UD/S 2.300.2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3</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ABB窗帘模块</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ABB，JRA/S 2.230.2.1</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4</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ABB二进制输入模块</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ABB，BE/S 4.20.2.1</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5</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ABB干接点</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ABB，US/U2.2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10</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6</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ABB四键面板</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ABB，6126/02-8-500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10</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7</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ABB八键面板</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ABB，6127/02-8-500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8</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ABB温控面板</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ABB，6128/28-8-500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9</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ABB面板耦合器</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ABB，6120/12-101-500</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15</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10</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西门子8按键面板</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5WG1-203-2DB13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11</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西门子移动探测器</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5WG1 258-2DB12</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3</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施耐德智能面板</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施耐德，MTN6214-4019</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13</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ABB-DAIL调光模块</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ABB，DG/S1.64.1.1</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14</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视声8路继电器模块</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视声KA/R0816.2</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15</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视声8按键面板</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视声CHPLE-08/02.1.00</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12</w:t>
            </w:r>
          </w:p>
        </w:tc>
        <w:tc>
          <w:tcPr>
            <w:tcW w:w="878"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16</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CSM230路由器</w:t>
            </w:r>
          </w:p>
        </w:tc>
        <w:tc>
          <w:tcPr>
            <w:tcW w:w="263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CSM230，6GK7177-1FA10-0AA0</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只</w:t>
            </w: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10</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81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p>
        </w:tc>
      </w:tr>
      <w:tr>
        <w:tblPrEx>
          <w:tblCellMar>
            <w:top w:w="0" w:type="dxa"/>
            <w:left w:w="108" w:type="dxa"/>
            <w:bottom w:w="0" w:type="dxa"/>
            <w:right w:w="108" w:type="dxa"/>
          </w:tblCellMar>
        </w:tblPrEx>
        <w:trPr>
          <w:trHeight w:val="399" w:hRule="atLeast"/>
          <w:jc w:val="center"/>
        </w:trPr>
        <w:tc>
          <w:tcPr>
            <w:tcW w:w="74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新宋体" w:hAnsi="新宋体" w:eastAsia="新宋体" w:cs="Tahoma"/>
                <w:color w:val="000000"/>
                <w:kern w:val="0"/>
              </w:rPr>
            </w:pPr>
            <w:r>
              <w:rPr>
                <w:rFonts w:hint="eastAsia" w:ascii="新宋体" w:hAnsi="新宋体" w:eastAsia="新宋体" w:cs="Tahoma"/>
                <w:color w:val="000000"/>
                <w:kern w:val="0"/>
              </w:rPr>
              <w:t>总金额（元)</w:t>
            </w:r>
          </w:p>
        </w:tc>
        <w:tc>
          <w:tcPr>
            <w:tcW w:w="819"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Tahoma"/>
                <w:color w:val="000000"/>
                <w:kern w:val="0"/>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Tahoma"/>
                <w:kern w:val="0"/>
              </w:rPr>
            </w:pPr>
            <w:r>
              <w:rPr>
                <w:rFonts w:hint="eastAsia" w:ascii="新宋体" w:hAnsi="新宋体" w:eastAsia="新宋体" w:cs="Tahoma"/>
                <w:kern w:val="0"/>
              </w:rPr>
              <w:t>　</w:t>
            </w: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eastAsia="仿宋_GB2312" w:cs="仿宋_GB2312"/>
          <w:color w:val="00000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：电气装置项目电源等实训设备</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．供货期限：合同签订之日起</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周内。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w:t>
      </w:r>
      <w:r>
        <w:rPr>
          <w:rFonts w:hint="eastAsia" w:ascii="仿宋_GB2312" w:hAnsi="仿宋_GB2312" w:eastAsia="仿宋_GB2312" w:cs="仿宋_GB2312"/>
          <w:color w:val="000000" w:themeColor="text1"/>
          <w:kern w:val="0"/>
          <w:sz w:val="28"/>
          <w:szCs w:val="28"/>
          <w14:textFill>
            <w14:solidFill>
              <w14:schemeClr w14:val="tx1"/>
            </w14:solidFill>
          </w14:textFill>
        </w:rPr>
        <w:t>金额：</w:t>
      </w:r>
      <w:r>
        <w:rPr>
          <w:rFonts w:ascii="仿宋_GB2312" w:hAnsi="仿宋_GB2312" w:eastAsia="仿宋_GB2312" w:cs="仿宋_GB2312"/>
          <w:b/>
          <w:bCs/>
          <w:color w:val="000000" w:themeColor="text1"/>
          <w:kern w:val="0"/>
          <w:sz w:val="28"/>
          <w:szCs w:val="28"/>
          <w:u w:val="single"/>
          <w14:textFill>
            <w14:solidFill>
              <w14:schemeClr w14:val="tx1"/>
            </w14:solidFill>
          </w14:textFill>
        </w:rPr>
        <w:t>18</w:t>
      </w:r>
      <w:r>
        <w:rPr>
          <w:rFonts w:hint="eastAsia" w:ascii="仿宋_GB2312" w:hAnsi="仿宋_GB2312" w:eastAsia="仿宋_GB2312" w:cs="仿宋_GB2312"/>
          <w:b/>
          <w:bCs/>
          <w:color w:val="000000" w:themeColor="text1"/>
          <w:kern w:val="0"/>
          <w:sz w:val="28"/>
          <w:szCs w:val="28"/>
          <w:u w:val="single"/>
          <w14:textFill>
            <w14:solidFill>
              <w14:schemeClr w14:val="tx1"/>
            </w14:solidFill>
          </w14:textFill>
        </w:rPr>
        <w:t>.</w:t>
      </w:r>
      <w:r>
        <w:rPr>
          <w:rFonts w:ascii="仿宋_GB2312" w:hAnsi="仿宋_GB2312" w:eastAsia="仿宋_GB2312" w:cs="仿宋_GB2312"/>
          <w:b/>
          <w:bCs/>
          <w:color w:val="000000" w:themeColor="text1"/>
          <w:kern w:val="0"/>
          <w:sz w:val="28"/>
          <w:szCs w:val="28"/>
          <w:u w:val="single"/>
          <w14:textFill>
            <w14:solidFill>
              <w14:schemeClr w14:val="tx1"/>
            </w14:solidFill>
          </w14:textFill>
        </w:rPr>
        <w:t>35</w:t>
      </w:r>
      <w:r>
        <w:rPr>
          <w:rFonts w:hint="eastAsia" w:ascii="仿宋_GB2312" w:hAnsi="仿宋_GB2312" w:eastAsia="仿宋_GB2312" w:cs="仿宋_GB2312"/>
          <w:b/>
          <w:bCs/>
          <w:color w:val="000000" w:themeColor="text1"/>
          <w:kern w:val="0"/>
          <w:sz w:val="28"/>
          <w:szCs w:val="28"/>
          <w:u w:val="single"/>
          <w14:textFill>
            <w14:solidFill>
              <w14:schemeClr w14:val="tx1"/>
            </w14:solidFill>
          </w14:textFill>
        </w:rPr>
        <w:t>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color w:val="000000" w:themeColor="text1"/>
          <w:sz w:val="28"/>
          <w:szCs w:val="28"/>
          <w14:textFill>
            <w14:solidFill>
              <w14:schemeClr w14:val="tx1"/>
            </w14:solidFill>
          </w14:textFill>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w:t>
      </w:r>
      <w:r>
        <w:rPr>
          <w:rFonts w:hint="eastAsia" w:ascii="仿宋_GB2312" w:hAnsi="仿宋_GB2312" w:eastAsia="仿宋_GB2312" w:cs="仿宋_GB2312"/>
          <w:color w:val="000000" w:themeColor="text1"/>
          <w:sz w:val="28"/>
          <w:szCs w:val="28"/>
          <w14:textFill>
            <w14:solidFill>
              <w14:schemeClr w14:val="tx1"/>
            </w14:solidFill>
          </w14:textFill>
        </w:rPr>
        <w:t>后全额退还（无息）。</w:t>
      </w:r>
    </w:p>
    <w:p>
      <w:pPr>
        <w:spacing w:line="560" w:lineRule="exact"/>
        <w:ind w:firstLine="562" w:firstLineChars="200"/>
        <w:rPr>
          <w:rFonts w:ascii="黑体" w:hAnsi="黑体" w:eastAsia="黑体" w:cs="Times New Roman"/>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themeColor="text1"/>
          <w:sz w:val="28"/>
          <w:szCs w:val="28"/>
          <w:u w:val="single"/>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报名、招标文件发售时间：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20年4月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15</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ascii="仿宋_GB2312" w:hAnsi="仿宋_GB2312" w:eastAsia="仿宋_GB2312" w:cs="仿宋_GB2312"/>
          <w:b/>
          <w:bCs/>
          <w:color w:val="000000" w:themeColor="text1"/>
          <w:sz w:val="28"/>
          <w:szCs w:val="28"/>
          <w:u w:val="single"/>
          <w14:textFill>
            <w14:solidFill>
              <w14:schemeClr w14:val="tx1"/>
            </w14:solidFill>
          </w14:textFill>
        </w:rPr>
        <w:t>—</w:t>
      </w:r>
      <w:r>
        <w:rPr>
          <w:rFonts w:hint="eastAsia" w:ascii="仿宋_GB2312" w:hAnsi="仿宋_GB2312" w:eastAsia="仿宋_GB2312" w:cs="仿宋_GB2312"/>
          <w:b/>
          <w:bCs/>
          <w:color w:val="000000" w:themeColor="text1"/>
          <w:sz w:val="28"/>
          <w:szCs w:val="28"/>
          <w:u w:val="single"/>
          <w14:textFill>
            <w14:solidFill>
              <w14:schemeClr w14:val="tx1"/>
            </w14:solidFill>
          </w14:textFill>
        </w:rPr>
        <w:t>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21</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ascii="仿宋_GB2312" w:hAnsi="仿宋_GB2312" w:eastAsia="仿宋_GB2312" w:cs="仿宋_GB2312"/>
          <w:b/>
          <w:bCs/>
          <w:color w:val="000000" w:themeColor="text1"/>
          <w:sz w:val="28"/>
          <w:szCs w:val="28"/>
          <w:u w:val="single"/>
          <w14:textFill>
            <w14:solidFill>
              <w14:schemeClr w14:val="tx1"/>
            </w14:solidFill>
          </w14:textFill>
        </w:rPr>
        <w:t>9:00-11:00</w:t>
      </w:r>
      <w:r>
        <w:rPr>
          <w:rFonts w:hint="eastAsia" w:ascii="仿宋_GB2312" w:hAnsi="仿宋_GB2312" w:eastAsia="仿宋_GB2312" w:cs="仿宋_GB2312"/>
          <w:b/>
          <w:bCs/>
          <w:color w:val="000000" w:themeColor="text1"/>
          <w:sz w:val="28"/>
          <w:szCs w:val="28"/>
          <w:u w:val="single"/>
          <w14:textFill>
            <w14:solidFill>
              <w14:schemeClr w14:val="tx1"/>
            </w14:solidFill>
          </w14:textFill>
        </w:rPr>
        <w:t>；</w:t>
      </w:r>
      <w:r>
        <w:rPr>
          <w:rFonts w:ascii="仿宋_GB2312" w:hAnsi="仿宋_GB2312" w:eastAsia="仿宋_GB2312" w:cs="仿宋_GB2312"/>
          <w:b/>
          <w:bCs/>
          <w:color w:val="000000" w:themeColor="text1"/>
          <w:sz w:val="28"/>
          <w:szCs w:val="28"/>
          <w:u w:val="single"/>
          <w14:textFill>
            <w14:solidFill>
              <w14:schemeClr w14:val="tx1"/>
            </w14:solidFill>
          </w14:textFill>
        </w:rPr>
        <w:t>15:00—17:</w:t>
      </w:r>
      <w:r>
        <w:rPr>
          <w:rFonts w:hint="eastAsia" w:ascii="仿宋_GB2312" w:hAnsi="仿宋_GB2312" w:eastAsia="仿宋_GB2312" w:cs="仿宋_GB2312"/>
          <w:b/>
          <w:bCs/>
          <w:color w:val="000000" w:themeColor="text1"/>
          <w:sz w:val="28"/>
          <w:szCs w:val="28"/>
          <w:u w:val="single"/>
          <w14:textFill>
            <w14:solidFill>
              <w14:schemeClr w14:val="tx1"/>
            </w14:solidFill>
          </w14:textFill>
        </w:rPr>
        <w:t>00）</w:t>
      </w:r>
      <w:bookmarkStart w:id="0" w:name="_GoBack"/>
      <w:bookmarkEnd w:id="0"/>
      <w:r>
        <w:rPr>
          <w:rFonts w:hint="eastAsia" w:ascii="仿宋_GB2312" w:hAnsi="仿宋_GB2312" w:eastAsia="仿宋_GB2312" w:cs="仿宋_GB2312"/>
          <w:b/>
          <w:bCs/>
          <w:color w:val="000000" w:themeColor="text1"/>
          <w:sz w:val="28"/>
          <w:szCs w:val="28"/>
          <w:u w:val="single"/>
          <w14:textFill>
            <w14:solidFill>
              <w14:schemeClr w14:val="tx1"/>
            </w14:solidFill>
          </w14:textFill>
        </w:rPr>
        <w:t>；</w:t>
      </w:r>
    </w:p>
    <w:p>
      <w:pPr>
        <w:shd w:val="clear" w:color="auto" w:fill="FFFFFF"/>
        <w:spacing w:line="56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地点：盐城市文港中路</w:t>
      </w:r>
      <w:r>
        <w:rPr>
          <w:rFonts w:ascii="仿宋_GB2312" w:hAnsi="仿宋_GB2312" w:eastAsia="仿宋_GB2312" w:cs="仿宋_GB2312"/>
          <w:color w:val="000000" w:themeColor="text1"/>
          <w:sz w:val="28"/>
          <w:szCs w:val="28"/>
          <w14:textFill>
            <w14:solidFill>
              <w14:schemeClr w14:val="tx1"/>
            </w14:solidFill>
          </w14:textFill>
        </w:rPr>
        <w:t>128</w:t>
      </w:r>
      <w:r>
        <w:rPr>
          <w:rFonts w:hint="eastAsia" w:ascii="仿宋_GB2312" w:hAnsi="仿宋_GB2312" w:eastAsia="仿宋_GB2312" w:cs="仿宋_GB2312"/>
          <w:color w:val="000000" w:themeColor="text1"/>
          <w:sz w:val="28"/>
          <w:szCs w:val="28"/>
          <w14:textFill>
            <w14:solidFill>
              <w14:schemeClr w14:val="tx1"/>
            </w14:solidFill>
          </w14:textFill>
        </w:rPr>
        <w:t>号江苏省盐城技师学院研发中心大楼</w:t>
      </w:r>
      <w:r>
        <w:rPr>
          <w:rFonts w:ascii="仿宋_GB2312" w:hAnsi="仿宋_GB2312" w:eastAsia="仿宋_GB2312" w:cs="仿宋_GB2312"/>
          <w:color w:val="000000" w:themeColor="text1"/>
          <w:sz w:val="28"/>
          <w:szCs w:val="28"/>
          <w14:textFill>
            <w14:solidFill>
              <w14:schemeClr w14:val="tx1"/>
            </w14:solidFill>
          </w14:textFill>
        </w:rPr>
        <w:t>1001</w:t>
      </w:r>
      <w:r>
        <w:rPr>
          <w:rFonts w:hint="eastAsia" w:ascii="仿宋_GB2312" w:hAnsi="仿宋_GB2312" w:eastAsia="仿宋_GB2312" w:cs="仿宋_GB2312"/>
          <w:color w:val="000000" w:themeColor="text1"/>
          <w:sz w:val="28"/>
          <w:szCs w:val="28"/>
          <w14:textFill>
            <w14:solidFill>
              <w14:schemeClr w14:val="tx1"/>
            </w14:solidFill>
          </w14:textFill>
        </w:rPr>
        <w:t>会议室。</w:t>
      </w:r>
    </w:p>
    <w:p>
      <w:pPr>
        <w:shd w:val="clear" w:color="auto" w:fill="FFFFFF"/>
        <w:spacing w:line="50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联系人：杨老师</w:t>
      </w:r>
      <w:r>
        <w:rPr>
          <w:rFonts w:ascii="仿宋_GB2312" w:hAnsi="仿宋_GB2312" w:eastAsia="仿宋_GB2312" w:cs="仿宋_GB2312"/>
          <w:color w:val="000000" w:themeColor="text1"/>
          <w:sz w:val="28"/>
          <w:szCs w:val="28"/>
          <w14:textFill>
            <w14:solidFill>
              <w14:schemeClr w14:val="tx1"/>
            </w14:solidFill>
          </w14:textFill>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投标文件递交截止时间：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20年4月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24</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15</w:t>
      </w:r>
      <w:r>
        <w:rPr>
          <w:rFonts w:hint="eastAsia" w:ascii="仿宋_GB2312" w:hAnsi="仿宋_GB2312" w:eastAsia="仿宋_GB2312" w:cs="仿宋_GB2312"/>
          <w:b/>
          <w:bCs/>
          <w:color w:val="000000" w:themeColor="text1"/>
          <w:sz w:val="28"/>
          <w:szCs w:val="28"/>
          <w:u w:val="single"/>
          <w14:textFill>
            <w14:solidFill>
              <w14:schemeClr w14:val="tx1"/>
            </w14:solidFill>
          </w14:textFill>
        </w:rPr>
        <w:t>时</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分</w:t>
      </w:r>
      <w:r>
        <w:rPr>
          <w:rFonts w:ascii="仿宋_GB2312" w:hAnsi="仿宋_GB2312" w:eastAsia="仿宋_GB2312" w:cs="仿宋_GB2312"/>
          <w:b/>
          <w:bCs/>
          <w:color w:val="000000" w:themeColor="text1"/>
          <w:sz w:val="28"/>
          <w:szCs w:val="28"/>
          <w:u w:val="single"/>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秒；</w:t>
      </w:r>
    </w:p>
    <w:p>
      <w:pPr>
        <w:shd w:val="clear" w:color="auto" w:fill="FFFFFF"/>
        <w:spacing w:line="500" w:lineRule="exact"/>
        <w:ind w:firstLine="560" w:firstLineChars="200"/>
        <w:rPr>
          <w:rFonts w:ascii="仿宋_GB2312" w:hAnsi="仿宋_GB2312" w:eastAsia="仿宋_GB2312" w:cs="Times New Roman"/>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开标时间：</w:t>
      </w:r>
      <w:r>
        <w:rPr>
          <w:rFonts w:ascii="仿宋_GB2312" w:hAnsi="仿宋_GB2312" w:eastAsia="仿宋_GB2312" w:cs="仿宋_GB2312"/>
          <w:b/>
          <w:bCs/>
          <w:color w:val="000000" w:themeColor="text1"/>
          <w:sz w:val="28"/>
          <w:szCs w:val="28"/>
          <w:u w:val="single"/>
          <w14:textFill>
            <w14:solidFill>
              <w14:schemeClr w14:val="tx1"/>
            </w14:solidFill>
          </w14:textFill>
        </w:rPr>
        <w:t>20</w:t>
      </w:r>
      <w:r>
        <w:rPr>
          <w:rFonts w:hint="eastAsia" w:ascii="仿宋_GB2312" w:hAnsi="仿宋_GB2312" w:eastAsia="仿宋_GB2312" w:cs="仿宋_GB2312"/>
          <w:b/>
          <w:bCs/>
          <w:color w:val="000000" w:themeColor="text1"/>
          <w:sz w:val="28"/>
          <w:szCs w:val="28"/>
          <w:u w:val="single"/>
          <w14:textFill>
            <w14:solidFill>
              <w14:schemeClr w14:val="tx1"/>
            </w14:solidFill>
          </w14:textFill>
        </w:rPr>
        <w:t>20年4月</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24</w:t>
      </w:r>
      <w:r>
        <w:rPr>
          <w:rFonts w:hint="eastAsia" w:ascii="仿宋_GB2312" w:hAnsi="仿宋_GB2312" w:eastAsia="仿宋_GB2312" w:cs="仿宋_GB2312"/>
          <w:b/>
          <w:bCs/>
          <w:color w:val="000000" w:themeColor="text1"/>
          <w:sz w:val="28"/>
          <w:szCs w:val="28"/>
          <w:u w:val="single"/>
          <w14:textFill>
            <w14:solidFill>
              <w14:schemeClr w14:val="tx1"/>
            </w14:solidFill>
          </w14:textFill>
        </w:rPr>
        <w:t>日</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15</w:t>
      </w:r>
      <w:r>
        <w:rPr>
          <w:rFonts w:hint="eastAsia" w:ascii="仿宋_GB2312" w:hAnsi="仿宋_GB2312" w:eastAsia="仿宋_GB2312" w:cs="仿宋_GB2312"/>
          <w:b/>
          <w:bCs/>
          <w:color w:val="000000" w:themeColor="text1"/>
          <w:sz w:val="28"/>
          <w:szCs w:val="28"/>
          <w:u w:val="single"/>
          <w14:textFill>
            <w14:solidFill>
              <w14:schemeClr w14:val="tx1"/>
            </w14:solidFill>
          </w14:textFill>
        </w:rPr>
        <w:t>时</w:t>
      </w:r>
      <w:r>
        <w:rPr>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分</w:t>
      </w:r>
      <w:r>
        <w:rPr>
          <w:rFonts w:ascii="仿宋_GB2312" w:hAnsi="仿宋_GB2312" w:eastAsia="仿宋_GB2312" w:cs="仿宋_GB2312"/>
          <w:b/>
          <w:bCs/>
          <w:color w:val="000000" w:themeColor="text1"/>
          <w:sz w:val="28"/>
          <w:szCs w:val="28"/>
          <w:u w:val="single"/>
          <w14:textFill>
            <w14:solidFill>
              <w14:schemeClr w14:val="tx1"/>
            </w14:solidFill>
          </w14:textFill>
        </w:rPr>
        <w:t>00</w:t>
      </w:r>
      <w:r>
        <w:rPr>
          <w:rFonts w:hint="eastAsia" w:ascii="仿宋_GB2312" w:hAnsi="仿宋_GB2312" w:eastAsia="仿宋_GB2312" w:cs="仿宋_GB2312"/>
          <w:b/>
          <w:bCs/>
          <w:color w:val="000000" w:themeColor="text1"/>
          <w:sz w:val="28"/>
          <w:szCs w:val="28"/>
          <w:u w:val="single"/>
          <w14:textFill>
            <w14:solidFill>
              <w14:schemeClr w14:val="tx1"/>
            </w14:solidFill>
          </w14:textFill>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eastAsia="黑体" w:cs="黑体"/>
          <w:sz w:val="44"/>
          <w:szCs w:val="44"/>
        </w:rPr>
      </w:pPr>
    </w:p>
    <w:p>
      <w:pPr>
        <w:spacing w:before="156" w:beforeLines="50" w:after="156" w:afterLines="50" w:line="480" w:lineRule="exact"/>
        <w:jc w:val="center"/>
        <w:rPr>
          <w:rFonts w:eastAsia="黑体" w:cs="黑体"/>
          <w:sz w:val="44"/>
          <w:szCs w:val="44"/>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新宋体">
    <w:panose1 w:val="02010609030101010101"/>
    <w:charset w:val="86"/>
    <w:family w:val="modern"/>
    <w:pitch w:val="default"/>
    <w:sig w:usb0="00000003" w:usb1="080E0000" w:usb2="00000000" w:usb3="00000000" w:csb0="00040001"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00BA0"/>
    <w:rsid w:val="000101D1"/>
    <w:rsid w:val="00014629"/>
    <w:rsid w:val="00015D30"/>
    <w:rsid w:val="00045388"/>
    <w:rsid w:val="0008246C"/>
    <w:rsid w:val="000D77A3"/>
    <w:rsid w:val="000E101C"/>
    <w:rsid w:val="0010282F"/>
    <w:rsid w:val="0015740A"/>
    <w:rsid w:val="001878D2"/>
    <w:rsid w:val="001D1F2C"/>
    <w:rsid w:val="001D61FD"/>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1892"/>
    <w:rsid w:val="005153CA"/>
    <w:rsid w:val="00526FA2"/>
    <w:rsid w:val="00546585"/>
    <w:rsid w:val="00557F91"/>
    <w:rsid w:val="005936F0"/>
    <w:rsid w:val="005A5F40"/>
    <w:rsid w:val="005C1E1C"/>
    <w:rsid w:val="005C72AC"/>
    <w:rsid w:val="005D1A6D"/>
    <w:rsid w:val="00613A52"/>
    <w:rsid w:val="0062112C"/>
    <w:rsid w:val="0065688A"/>
    <w:rsid w:val="00674675"/>
    <w:rsid w:val="00734B35"/>
    <w:rsid w:val="007C3A21"/>
    <w:rsid w:val="007F14BE"/>
    <w:rsid w:val="008247E8"/>
    <w:rsid w:val="008319AF"/>
    <w:rsid w:val="00834134"/>
    <w:rsid w:val="00852F54"/>
    <w:rsid w:val="008711D0"/>
    <w:rsid w:val="00882829"/>
    <w:rsid w:val="00895C9B"/>
    <w:rsid w:val="008C2B99"/>
    <w:rsid w:val="008D1FE2"/>
    <w:rsid w:val="0091148D"/>
    <w:rsid w:val="00915EE4"/>
    <w:rsid w:val="00947D49"/>
    <w:rsid w:val="00953F11"/>
    <w:rsid w:val="0097590E"/>
    <w:rsid w:val="009F26B6"/>
    <w:rsid w:val="009F7E80"/>
    <w:rsid w:val="00A3588B"/>
    <w:rsid w:val="00A35E9E"/>
    <w:rsid w:val="00AD4EEA"/>
    <w:rsid w:val="00B308FD"/>
    <w:rsid w:val="00C00BF1"/>
    <w:rsid w:val="00C125C3"/>
    <w:rsid w:val="00C212FD"/>
    <w:rsid w:val="00C44A09"/>
    <w:rsid w:val="00C6546A"/>
    <w:rsid w:val="00C7012C"/>
    <w:rsid w:val="00C703AA"/>
    <w:rsid w:val="00C72290"/>
    <w:rsid w:val="00C87012"/>
    <w:rsid w:val="00CD1440"/>
    <w:rsid w:val="00CE5D2D"/>
    <w:rsid w:val="00D243F7"/>
    <w:rsid w:val="00D75FC1"/>
    <w:rsid w:val="00DD68DF"/>
    <w:rsid w:val="00E1612E"/>
    <w:rsid w:val="00E45750"/>
    <w:rsid w:val="00E6011E"/>
    <w:rsid w:val="00E6468D"/>
    <w:rsid w:val="00E81AF3"/>
    <w:rsid w:val="00E907A5"/>
    <w:rsid w:val="00EC1EFA"/>
    <w:rsid w:val="00EC3FD1"/>
    <w:rsid w:val="00EE1F55"/>
    <w:rsid w:val="00EE78DE"/>
    <w:rsid w:val="00F27EDE"/>
    <w:rsid w:val="00F95DED"/>
    <w:rsid w:val="01426060"/>
    <w:rsid w:val="01734399"/>
    <w:rsid w:val="01754E63"/>
    <w:rsid w:val="028009D5"/>
    <w:rsid w:val="02BB486C"/>
    <w:rsid w:val="03055062"/>
    <w:rsid w:val="03784BFE"/>
    <w:rsid w:val="039369CC"/>
    <w:rsid w:val="04C12B4C"/>
    <w:rsid w:val="04CD3D0D"/>
    <w:rsid w:val="04EF3DB4"/>
    <w:rsid w:val="051004D3"/>
    <w:rsid w:val="05272FAA"/>
    <w:rsid w:val="05B15802"/>
    <w:rsid w:val="05BB750E"/>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3D62CB"/>
    <w:rsid w:val="0C525545"/>
    <w:rsid w:val="0D8536A8"/>
    <w:rsid w:val="0DA37C6C"/>
    <w:rsid w:val="0DA5454E"/>
    <w:rsid w:val="0EDD719A"/>
    <w:rsid w:val="0EED3DB3"/>
    <w:rsid w:val="0F5136C0"/>
    <w:rsid w:val="0F78360A"/>
    <w:rsid w:val="0FA34244"/>
    <w:rsid w:val="10486C99"/>
    <w:rsid w:val="10734D40"/>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0F88"/>
    <w:rsid w:val="14B61A22"/>
    <w:rsid w:val="14F204A8"/>
    <w:rsid w:val="155F42E2"/>
    <w:rsid w:val="15D0174A"/>
    <w:rsid w:val="161A2398"/>
    <w:rsid w:val="164036AC"/>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242751"/>
    <w:rsid w:val="2BA12CCB"/>
    <w:rsid w:val="2BF253AE"/>
    <w:rsid w:val="2BF95B4F"/>
    <w:rsid w:val="2C225919"/>
    <w:rsid w:val="2C430B45"/>
    <w:rsid w:val="2C9629A2"/>
    <w:rsid w:val="2D0A78E6"/>
    <w:rsid w:val="2D247B91"/>
    <w:rsid w:val="2D3A397F"/>
    <w:rsid w:val="2DB155CE"/>
    <w:rsid w:val="2DF824AE"/>
    <w:rsid w:val="2E170254"/>
    <w:rsid w:val="2E247C4F"/>
    <w:rsid w:val="2E3C2994"/>
    <w:rsid w:val="2F015C8D"/>
    <w:rsid w:val="2F322610"/>
    <w:rsid w:val="303C58FE"/>
    <w:rsid w:val="305B42AA"/>
    <w:rsid w:val="308D17A0"/>
    <w:rsid w:val="30B72DB4"/>
    <w:rsid w:val="30C73688"/>
    <w:rsid w:val="30D6335C"/>
    <w:rsid w:val="30F938C5"/>
    <w:rsid w:val="3152597F"/>
    <w:rsid w:val="31721C46"/>
    <w:rsid w:val="31D962C7"/>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310C64"/>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6A3C79"/>
    <w:rsid w:val="47AC3932"/>
    <w:rsid w:val="47EB0CDC"/>
    <w:rsid w:val="48211BC8"/>
    <w:rsid w:val="482C68E1"/>
    <w:rsid w:val="483E69C5"/>
    <w:rsid w:val="48C500BB"/>
    <w:rsid w:val="491C0BE3"/>
    <w:rsid w:val="496679E4"/>
    <w:rsid w:val="498B47F1"/>
    <w:rsid w:val="4A0952BB"/>
    <w:rsid w:val="4A300DBD"/>
    <w:rsid w:val="4AA32559"/>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1B3BC6"/>
    <w:rsid w:val="5E5516EB"/>
    <w:rsid w:val="5EB24D06"/>
    <w:rsid w:val="5EC00FDE"/>
    <w:rsid w:val="5F213218"/>
    <w:rsid w:val="5FB37032"/>
    <w:rsid w:val="604E57F2"/>
    <w:rsid w:val="608F5787"/>
    <w:rsid w:val="60B54500"/>
    <w:rsid w:val="610C0AF8"/>
    <w:rsid w:val="611A1BED"/>
    <w:rsid w:val="624F051E"/>
    <w:rsid w:val="625A0DB8"/>
    <w:rsid w:val="62CD2233"/>
    <w:rsid w:val="62D500B6"/>
    <w:rsid w:val="62D82626"/>
    <w:rsid w:val="62E6383E"/>
    <w:rsid w:val="63413B72"/>
    <w:rsid w:val="6366144A"/>
    <w:rsid w:val="64140E68"/>
    <w:rsid w:val="64571B9A"/>
    <w:rsid w:val="646E1A2B"/>
    <w:rsid w:val="64A5749D"/>
    <w:rsid w:val="64DD2238"/>
    <w:rsid w:val="657813C0"/>
    <w:rsid w:val="65D95392"/>
    <w:rsid w:val="668A38E9"/>
    <w:rsid w:val="67831A61"/>
    <w:rsid w:val="67AF54A4"/>
    <w:rsid w:val="68911162"/>
    <w:rsid w:val="68A00632"/>
    <w:rsid w:val="68AF4662"/>
    <w:rsid w:val="68FB3B7E"/>
    <w:rsid w:val="690762AF"/>
    <w:rsid w:val="69A0054D"/>
    <w:rsid w:val="6A4015EE"/>
    <w:rsid w:val="6A68473D"/>
    <w:rsid w:val="6A77390C"/>
    <w:rsid w:val="6AF3713C"/>
    <w:rsid w:val="6B376C34"/>
    <w:rsid w:val="6BA87F93"/>
    <w:rsid w:val="6BD84A7F"/>
    <w:rsid w:val="6C7D07FE"/>
    <w:rsid w:val="6CC02D04"/>
    <w:rsid w:val="6CD068B4"/>
    <w:rsid w:val="6D390973"/>
    <w:rsid w:val="6D441F7E"/>
    <w:rsid w:val="6D6D5F4E"/>
    <w:rsid w:val="6D886EFA"/>
    <w:rsid w:val="6DB854D6"/>
    <w:rsid w:val="6E4008B0"/>
    <w:rsid w:val="6EB02BF7"/>
    <w:rsid w:val="6EBF11EF"/>
    <w:rsid w:val="6F4F1DE3"/>
    <w:rsid w:val="6F93454C"/>
    <w:rsid w:val="705B6C4C"/>
    <w:rsid w:val="7067211B"/>
    <w:rsid w:val="70A51511"/>
    <w:rsid w:val="70E826BC"/>
    <w:rsid w:val="710F6F32"/>
    <w:rsid w:val="71512C49"/>
    <w:rsid w:val="71661C44"/>
    <w:rsid w:val="717E223A"/>
    <w:rsid w:val="71B1120F"/>
    <w:rsid w:val="71D64F7C"/>
    <w:rsid w:val="71E0306E"/>
    <w:rsid w:val="71F54C9C"/>
    <w:rsid w:val="721044AD"/>
    <w:rsid w:val="72561178"/>
    <w:rsid w:val="7312134A"/>
    <w:rsid w:val="735A6ABC"/>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32CE7"/>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80E3A"/>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qFormat/>
    <w:uiPriority w:val="0"/>
    <w:rPr>
      <w:rFonts w:hint="default" w:ascii="Times New Roman" w:hAnsi="Times New Roman" w:cs="Times New Roman"/>
      <w:color w:val="000000"/>
      <w:sz w:val="22"/>
      <w:szCs w:val="22"/>
      <w:u w:val="none"/>
    </w:rPr>
  </w:style>
  <w:style w:type="character" w:customStyle="1" w:styleId="26">
    <w:name w:val="font01"/>
    <w:qFormat/>
    <w:uiPriority w:val="0"/>
    <w:rPr>
      <w:rFonts w:hint="eastAsia" w:ascii="宋体" w:hAnsi="宋体" w:eastAsia="宋体" w:cs="宋体"/>
      <w:color w:val="000000"/>
      <w:sz w:val="22"/>
      <w:szCs w:val="22"/>
      <w:u w:val="none"/>
    </w:rPr>
  </w:style>
  <w:style w:type="character" w:customStyle="1" w:styleId="27">
    <w:name w:val="font21"/>
    <w:qFormat/>
    <w:uiPriority w:val="0"/>
    <w:rPr>
      <w:rFonts w:hint="default" w:ascii="Times New Roman" w:hAnsi="Times New Roman" w:cs="Times New Roman"/>
      <w:color w:val="000000"/>
      <w:sz w:val="22"/>
      <w:szCs w:val="22"/>
      <w:u w:val="none"/>
    </w:rPr>
  </w:style>
  <w:style w:type="character" w:customStyle="1" w:styleId="28">
    <w:name w:val="font51"/>
    <w:qFormat/>
    <w:uiPriority w:val="0"/>
    <w:rPr>
      <w:rFonts w:hint="default" w:ascii="Times New Roman" w:hAnsi="Times New Roman" w:cs="Times New Roman"/>
      <w:color w:val="000000"/>
      <w:sz w:val="22"/>
      <w:szCs w:val="22"/>
      <w:u w:val="none"/>
    </w:rPr>
  </w:style>
  <w:style w:type="character" w:customStyle="1" w:styleId="29">
    <w:name w:val="font41"/>
    <w:qFormat/>
    <w:uiPriority w:val="0"/>
    <w:rPr>
      <w:rFonts w:hint="eastAsia" w:ascii="宋体" w:hAnsi="宋体" w:eastAsia="宋体" w:cs="宋体"/>
      <w:color w:val="000000"/>
      <w:sz w:val="20"/>
      <w:szCs w:val="20"/>
      <w:u w:val="none"/>
      <w:vertAlign w:val="superscript"/>
    </w:rPr>
  </w:style>
  <w:style w:type="character" w:customStyle="1" w:styleId="30">
    <w:name w:val="font1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BA9EC2-EC6D-47CA-B806-C4D8D1ACD7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1181</Words>
  <Characters>6736</Characters>
  <Lines>56</Lines>
  <Paragraphs>15</Paragraphs>
  <TotalTime>31</TotalTime>
  <ScaleCrop>false</ScaleCrop>
  <LinksUpToDate>false</LinksUpToDate>
  <CharactersWithSpaces>7902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2020-04-14T09:07:00Z</cp:lastPrinted>
  <dcterms:modified xsi:type="dcterms:W3CDTF">2020-04-15T03:33:06Z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