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58</w:t>
      </w:r>
      <w:r>
        <w:rPr>
          <w:rFonts w:hint="eastAsia"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6"/>
          <w:szCs w:val="36"/>
          <w:u w:val="single"/>
          <w:lang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rPr>
        <w:t>海洋路校区</w:t>
      </w:r>
      <w:r>
        <w:rPr>
          <w:rFonts w:hint="eastAsia" w:ascii="楷体_GB2312" w:hAnsi="楷体_GB2312" w:eastAsia="楷体_GB2312" w:cs="楷体_GB2312"/>
          <w:b/>
          <w:bCs/>
          <w:color w:val="000000"/>
          <w:sz w:val="36"/>
          <w:szCs w:val="36"/>
          <w:u w:val="single"/>
          <w:lang w:eastAsia="zh-CN"/>
        </w:rPr>
        <w:t>苗木移植项目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7</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6"/>
        <w:spacing w:line="600" w:lineRule="exact"/>
        <w:ind w:firstLine="742"/>
        <w:rPr>
          <w:rFonts w:ascii="仿宋_GB2312"/>
          <w:color w:val="000000"/>
          <w:szCs w:val="32"/>
        </w:rPr>
      </w:pPr>
    </w:p>
    <w:p>
      <w:pPr>
        <w:pStyle w:val="6"/>
        <w:spacing w:line="600" w:lineRule="exact"/>
        <w:ind w:firstLine="742"/>
        <w:rPr>
          <w:rFonts w:ascii="仿宋_GB2312"/>
          <w:color w:val="000000"/>
          <w:szCs w:val="32"/>
        </w:rPr>
      </w:pPr>
    </w:p>
    <w:p>
      <w:pPr>
        <w:pStyle w:val="6"/>
        <w:spacing w:line="600" w:lineRule="exact"/>
        <w:ind w:left="0" w:firstLine="0" w:firstLineChars="0"/>
        <w:rPr>
          <w:rFonts w:ascii="仿宋_GB2312"/>
          <w:color w:val="000000"/>
          <w:szCs w:val="32"/>
        </w:rPr>
      </w:pPr>
    </w:p>
    <w:p>
      <w:pPr>
        <w:pStyle w:val="6"/>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rPr>
        <w:t>海洋路校区</w:t>
      </w:r>
      <w:r>
        <w:rPr>
          <w:rFonts w:hint="eastAsia" w:ascii="仿宋_GB2312" w:hAnsi="仿宋_GB2312" w:eastAsia="仿宋_GB2312" w:cs="仿宋_GB2312"/>
          <w:sz w:val="28"/>
          <w:szCs w:val="28"/>
          <w:u w:val="single"/>
          <w:lang w:eastAsia="zh-CN"/>
        </w:rPr>
        <w:t>苗木移植项目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eastAsia="zh-CN"/>
        </w:rPr>
        <w:t>苗木移植主要集中分为</w:t>
      </w:r>
      <w:r>
        <w:rPr>
          <w:rFonts w:hint="eastAsia" w:ascii="仿宋_GB2312" w:hAnsi="仿宋_GB2312" w:eastAsia="仿宋_GB2312" w:cs="仿宋_GB2312"/>
          <w:b/>
          <w:sz w:val="28"/>
          <w:szCs w:val="28"/>
          <w:lang w:val="en-US" w:eastAsia="zh-CN"/>
        </w:rPr>
        <w:t>4个区域：主入口中心路两侧、教学楼西北侧、教学楼东北侧、餐厅南侧。</w:t>
      </w:r>
    </w:p>
    <w:p>
      <w:pPr>
        <w:spacing w:line="560" w:lineRule="exact"/>
        <w:ind w:firstLine="562" w:firstLineChars="200"/>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具体苗木种类及数量如下：</w:t>
      </w:r>
    </w:p>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区域A：主入口中心路两侧</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shd w:val="clear" w:color="auto" w:fill="auto"/>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香樟</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33</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银杏</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φ20-25cm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18</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3</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垂丝海棠</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D5cm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44</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红枫</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D4cm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12</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红叶李</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D4cm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14</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紫薇</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D3-4cm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19</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P1.5-2m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47</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仿宋_GB2312" w:hAnsi="仿宋_GB2312" w:eastAsia="仿宋_GB2312" w:cs="仿宋_GB2312"/>
                <w:i w:val="0"/>
                <w:color w:val="000000"/>
                <w:sz w:val="28"/>
                <w:szCs w:val="28"/>
                <w:u w:val="none"/>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187</w:t>
            </w:r>
            <w:r>
              <w:rPr>
                <w:rFonts w:hint="eastAsia" w:ascii="仿宋_GB2312" w:hAnsi="仿宋_GB2312" w:eastAsia="仿宋_GB2312" w:cs="仿宋_GB2312"/>
                <w:i w:val="0"/>
                <w:color w:val="000000"/>
                <w:kern w:val="0"/>
                <w:sz w:val="28"/>
                <w:szCs w:val="28"/>
                <w:u w:val="none"/>
                <w:lang w:val="en-US" w:eastAsia="zh-CN" w:bidi="ar"/>
              </w:rPr>
              <w:t>株</w:t>
            </w:r>
          </w:p>
        </w:tc>
      </w:tr>
    </w:tbl>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区域B：教学楼西北侧</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红枫</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P3-4m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14</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广玉兰</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樱花</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D6-8cm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19</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垂丝海棠</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D4-5cm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紫薇</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19</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83</w:t>
            </w:r>
            <w:r>
              <w:rPr>
                <w:rFonts w:hint="eastAsia" w:ascii="仿宋_GB2312" w:hAnsi="仿宋_GB2312" w:eastAsia="仿宋_GB2312" w:cs="仿宋_GB2312"/>
                <w:i w:val="0"/>
                <w:color w:val="000000"/>
                <w:kern w:val="0"/>
                <w:sz w:val="28"/>
                <w:szCs w:val="28"/>
                <w:u w:val="none"/>
                <w:lang w:val="en-US" w:eastAsia="zh-CN" w:bidi="ar"/>
              </w:rPr>
              <w:t>株</w:t>
            </w:r>
          </w:p>
        </w:tc>
      </w:tr>
    </w:tbl>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区域C：教学楼东北侧</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P3-4m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17</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樱花</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D10-15cm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广玉兰</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垂丝海棠</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D4-5cm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紫薇</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21</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广玉兰</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P1.5-2m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86</w:t>
            </w:r>
            <w:r>
              <w:rPr>
                <w:rFonts w:hint="eastAsia" w:ascii="仿宋_GB2312" w:hAnsi="仿宋_GB2312" w:eastAsia="仿宋_GB2312" w:cs="仿宋_GB2312"/>
                <w:i w:val="0"/>
                <w:color w:val="000000"/>
                <w:kern w:val="0"/>
                <w:sz w:val="28"/>
                <w:szCs w:val="28"/>
                <w:u w:val="none"/>
                <w:lang w:val="en-US" w:eastAsia="zh-CN" w:bidi="ar"/>
              </w:rPr>
              <w:t>株</w:t>
            </w:r>
          </w:p>
        </w:tc>
      </w:tr>
    </w:tbl>
    <w:p>
      <w:pPr>
        <w:spacing w:line="560" w:lineRule="exac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区域D：餐厅南侧</w:t>
      </w:r>
    </w:p>
    <w:tbl>
      <w:tblPr>
        <w:tblStyle w:val="10"/>
        <w:tblW w:w="9374" w:type="dxa"/>
        <w:jc w:val="center"/>
        <w:shd w:val="clear" w:color="auto" w:fill="auto"/>
        <w:tblLayout w:type="fixed"/>
        <w:tblCellMar>
          <w:top w:w="0" w:type="dxa"/>
          <w:left w:w="0" w:type="dxa"/>
          <w:bottom w:w="0" w:type="dxa"/>
          <w:right w:w="0" w:type="dxa"/>
        </w:tblCellMar>
      </w:tblPr>
      <w:tblGrid>
        <w:gridCol w:w="1530"/>
        <w:gridCol w:w="2640"/>
        <w:gridCol w:w="1964"/>
        <w:gridCol w:w="1080"/>
        <w:gridCol w:w="1080"/>
        <w:gridCol w:w="1080"/>
      </w:tblGrid>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序号</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品种</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规格</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单位</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数量</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b/>
                <w:bCs/>
                <w:i w:val="0"/>
                <w:color w:val="000000"/>
                <w:sz w:val="28"/>
                <w:szCs w:val="28"/>
                <w:u w:val="none"/>
              </w:rPr>
            </w:pPr>
            <w:r>
              <w:rPr>
                <w:rFonts w:hint="eastAsia" w:ascii="仿宋_GB2312" w:hAnsi="仿宋_GB2312" w:eastAsia="仿宋_GB2312" w:cs="仿宋_GB2312"/>
                <w:b/>
                <w:bCs/>
                <w:i w:val="0"/>
                <w:color w:val="000000"/>
                <w:kern w:val="0"/>
                <w:sz w:val="28"/>
                <w:szCs w:val="28"/>
                <w:u w:val="none"/>
                <w:lang w:val="en-US" w:eastAsia="zh-CN" w:bidi="ar"/>
              </w:rPr>
              <w:t>合计</w:t>
            </w: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红叶李</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D3-4cm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26</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红叶石楠球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P1.5-2m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栾树</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φ25-30cm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独杆桂花</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P4-5cm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15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264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海桐球</w:t>
            </w:r>
          </w:p>
        </w:tc>
        <w:tc>
          <w:tcPr>
            <w:tcW w:w="196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P2-3m</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株</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108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CellMar>
            <w:top w:w="0" w:type="dxa"/>
            <w:left w:w="0" w:type="dxa"/>
            <w:bottom w:w="0" w:type="dxa"/>
            <w:right w:w="0" w:type="dxa"/>
          </w:tblCellMar>
        </w:tblPrEx>
        <w:trPr>
          <w:trHeight w:val="300" w:hRule="atLeast"/>
          <w:jc w:val="center"/>
        </w:trPr>
        <w:tc>
          <w:tcPr>
            <w:tcW w:w="6134"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合计</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43</w:t>
            </w:r>
            <w:r>
              <w:rPr>
                <w:rFonts w:hint="eastAsia" w:ascii="仿宋_GB2312" w:hAnsi="仿宋_GB2312" w:eastAsia="仿宋_GB2312" w:cs="仿宋_GB2312"/>
                <w:i w:val="0"/>
                <w:color w:val="000000"/>
                <w:kern w:val="0"/>
                <w:sz w:val="28"/>
                <w:szCs w:val="28"/>
                <w:u w:val="none"/>
                <w:lang w:val="en-US" w:eastAsia="zh-CN" w:bidi="ar"/>
              </w:rPr>
              <w:t>株</w:t>
            </w:r>
          </w:p>
        </w:tc>
      </w:tr>
    </w:tbl>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备注：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1.合计399株，需将399株苗木移植至教学楼的南侧空旷地段，具体根据现场实际情况，根据招标人要求，按园林景观效果摆布苗木。</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eastAsia"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2.需确保移植苗木存活率达50%以上，投标单位需负责苗木的养护，养护周期为1年，苗木存活率低于50%的部分，每株扣除合同款1000元。</w:t>
      </w:r>
    </w:p>
    <w:p>
      <w:pPr>
        <w:pStyle w:val="2"/>
        <w:keepNext w:val="0"/>
        <w:keepLines w:val="0"/>
        <w:pageBreakBefore w:val="0"/>
        <w:widowControl w:val="0"/>
        <w:kinsoku/>
        <w:wordWrap/>
        <w:overflowPunct/>
        <w:topLinePunct w:val="0"/>
        <w:autoSpaceDE/>
        <w:autoSpaceDN/>
        <w:bidi w:val="0"/>
        <w:adjustRightInd/>
        <w:snapToGrid/>
        <w:spacing w:after="0"/>
        <w:ind w:firstLine="562" w:firstLineChars="200"/>
        <w:textAlignment w:val="auto"/>
        <w:rPr>
          <w:rFonts w:hint="default" w:ascii="仿宋_GB2312" w:hAnsi="仿宋_GB2312" w:eastAsia="仿宋_GB2312" w:cs="仿宋_GB2312"/>
          <w:b/>
          <w:kern w:val="2"/>
          <w:sz w:val="28"/>
          <w:szCs w:val="28"/>
          <w:lang w:val="en-US" w:eastAsia="zh-CN" w:bidi="ar-SA"/>
        </w:rPr>
      </w:pPr>
      <w:r>
        <w:rPr>
          <w:rFonts w:hint="eastAsia" w:ascii="仿宋_GB2312" w:hAnsi="仿宋_GB2312" w:eastAsia="仿宋_GB2312" w:cs="仿宋_GB2312"/>
          <w:b/>
          <w:kern w:val="2"/>
          <w:sz w:val="28"/>
          <w:szCs w:val="28"/>
          <w:lang w:val="en-US" w:eastAsia="zh-CN" w:bidi="ar-SA"/>
        </w:rPr>
        <w:t>3.需按招标人要求分步实施，项目施工周期一周。</w:t>
      </w:r>
    </w:p>
    <w:p>
      <w:pPr>
        <w:spacing w:line="560" w:lineRule="exact"/>
        <w:ind w:firstLine="560" w:firstLineChars="200"/>
        <w:rPr>
          <w:rFonts w:ascii="黑体" w:eastAsia="黑体"/>
          <w:sz w:val="28"/>
          <w:szCs w:val="28"/>
        </w:rPr>
      </w:pPr>
      <w:r>
        <w:rPr>
          <w:rFonts w:hint="eastAsia" w:ascii="黑体" w:eastAsia="黑体"/>
          <w:sz w:val="28"/>
          <w:szCs w:val="28"/>
        </w:rPr>
        <w:t>二、采购项目预算金额</w:t>
      </w:r>
    </w:p>
    <w:p>
      <w:pPr>
        <w:spacing w:line="560" w:lineRule="exact"/>
        <w:ind w:firstLine="562" w:firstLineChars="200"/>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w:t>
      </w:r>
      <w:r>
        <w:rPr>
          <w:rFonts w:hint="eastAsia" w:ascii="仿宋_GB2312" w:hAnsi="仿宋_GB2312" w:eastAsia="仿宋_GB2312" w:cs="仿宋_GB2312"/>
          <w:b/>
          <w:color w:val="000000"/>
          <w:sz w:val="28"/>
          <w:szCs w:val="28"/>
        </w:rPr>
        <w:t>万元；投标人报价超过预算的为无效报价，按照未实质性响应招标文件处理。</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pacing w:line="440" w:lineRule="exact"/>
        <w:ind w:firstLine="560" w:firstLineChars="200"/>
        <w:jc w:val="left"/>
        <w:rPr>
          <w:rFonts w:ascii="仿宋_GB2312" w:eastAsia="仿宋_GB2312"/>
          <w:sz w:val="28"/>
          <w:szCs w:val="28"/>
        </w:rPr>
      </w:pPr>
      <w:r>
        <w:rPr>
          <w:rFonts w:hint="eastAsia" w:ascii="仿宋_GB2312" w:eastAsia="仿宋_GB2312"/>
          <w:sz w:val="28"/>
          <w:szCs w:val="28"/>
        </w:rPr>
        <w:t>1.获取时间：</w:t>
      </w:r>
      <w:r>
        <w:rPr>
          <w:rFonts w:hint="eastAsia" w:ascii="仿宋_GB2312" w:eastAsia="仿宋_GB2312"/>
          <w:b/>
          <w:bCs/>
          <w:sz w:val="28"/>
          <w:szCs w:val="28"/>
          <w:u w:val="single"/>
        </w:rPr>
        <w:t>2020年</w:t>
      </w:r>
      <w:r>
        <w:rPr>
          <w:rFonts w:hint="eastAsia" w:ascii="仿宋_GB2312" w:eastAsia="仿宋_GB2312"/>
          <w:b/>
          <w:bCs/>
          <w:sz w:val="28"/>
          <w:szCs w:val="28"/>
          <w:u w:val="single"/>
          <w:lang w:val="en-US" w:eastAsia="zh-CN"/>
        </w:rPr>
        <w:t>7</w:t>
      </w:r>
      <w:r>
        <w:rPr>
          <w:rFonts w:hint="eastAsia" w:ascii="仿宋_GB2312" w:eastAsia="仿宋_GB2312"/>
          <w:b/>
          <w:bCs/>
          <w:sz w:val="28"/>
          <w:szCs w:val="28"/>
          <w:u w:val="single"/>
        </w:rPr>
        <w:t>月</w:t>
      </w:r>
      <w:r>
        <w:rPr>
          <w:rFonts w:hint="eastAsia" w:ascii="仿宋_GB2312" w:eastAsia="仿宋_GB2312"/>
          <w:b/>
          <w:bCs/>
          <w:sz w:val="28"/>
          <w:szCs w:val="28"/>
          <w:u w:val="single"/>
          <w:lang w:val="en-US" w:eastAsia="zh-CN"/>
        </w:rPr>
        <w:t>28</w:t>
      </w:r>
      <w:r>
        <w:rPr>
          <w:rFonts w:hint="eastAsia" w:ascii="仿宋_GB2312" w:eastAsia="仿宋_GB2312"/>
          <w:b/>
          <w:bCs/>
          <w:sz w:val="28"/>
          <w:szCs w:val="28"/>
          <w:u w:val="single"/>
        </w:rPr>
        <w:t>日17时00分前</w:t>
      </w:r>
      <w:r>
        <w:rPr>
          <w:rFonts w:hint="eastAsia" w:ascii="仿宋_GB2312" w:eastAsia="仿宋_GB2312"/>
          <w:sz w:val="28"/>
          <w:szCs w:val="28"/>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6"/>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7</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0分前；</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2</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，投标保证金必须使用银行本票或汇票、现金形式，投标人未能按上述要求提交投标保证金的，招标人将视其为不响应投标而予以拒绝。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2.投标保证金核验方式为：投标文件递交的同时，投标单位将本票或汇票、现金直接提交给投标文件接收人员。未按上述要求提交保证金交款凭据的，投标文件将不予接收。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3.若中标，投标保证金在合同签订后无息退还；未中标单位于现场退还投标保证金（无息退还）。中标人于签订合同后1个工作日内向招标人指定账号缴纳履约保证金1000元。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6.履约保证金的退还：按合同要求测绘并报审合格后全额退还。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2"/>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凭据，本次投标保证金以银行本票或汇票形式（提供银行本票或汇票、现金，谢绝其他形式）缴纳，开标前带至开标现场（详见投标保证金条款的相关规定）。</w:t>
      </w:r>
    </w:p>
    <w:p>
      <w:pPr>
        <w:pStyle w:val="2"/>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35418D9"/>
    <w:rsid w:val="03784BFE"/>
    <w:rsid w:val="03DC0204"/>
    <w:rsid w:val="043854A9"/>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1E525F"/>
    <w:rsid w:val="0E256362"/>
    <w:rsid w:val="0E2B5F03"/>
    <w:rsid w:val="0E6C4B17"/>
    <w:rsid w:val="0EB6316D"/>
    <w:rsid w:val="0EED3DB3"/>
    <w:rsid w:val="0F025FBB"/>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10F5FEB"/>
    <w:rsid w:val="11442DBE"/>
    <w:rsid w:val="119F60B5"/>
    <w:rsid w:val="120D5A10"/>
    <w:rsid w:val="121D42C8"/>
    <w:rsid w:val="12587BBB"/>
    <w:rsid w:val="125D3852"/>
    <w:rsid w:val="126B6779"/>
    <w:rsid w:val="12726C10"/>
    <w:rsid w:val="128C3AF6"/>
    <w:rsid w:val="12A75268"/>
    <w:rsid w:val="12C23695"/>
    <w:rsid w:val="131953C2"/>
    <w:rsid w:val="13626C51"/>
    <w:rsid w:val="1387289B"/>
    <w:rsid w:val="138A3CBD"/>
    <w:rsid w:val="13BF20EE"/>
    <w:rsid w:val="13EE1CA6"/>
    <w:rsid w:val="141A7C53"/>
    <w:rsid w:val="141E3E24"/>
    <w:rsid w:val="14EF4C8B"/>
    <w:rsid w:val="155F42E2"/>
    <w:rsid w:val="158925BF"/>
    <w:rsid w:val="15D211C0"/>
    <w:rsid w:val="15D8119C"/>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5728E3"/>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ED191D"/>
    <w:rsid w:val="1CEF28AC"/>
    <w:rsid w:val="1D027E40"/>
    <w:rsid w:val="1D5F7B0B"/>
    <w:rsid w:val="1D681CE1"/>
    <w:rsid w:val="1DAF6F36"/>
    <w:rsid w:val="1DD46062"/>
    <w:rsid w:val="1E1823DE"/>
    <w:rsid w:val="1E285373"/>
    <w:rsid w:val="1E4C0DD8"/>
    <w:rsid w:val="1E9F10E2"/>
    <w:rsid w:val="1EB96B5B"/>
    <w:rsid w:val="1F3417C9"/>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EC1EAB"/>
    <w:rsid w:val="31F604A7"/>
    <w:rsid w:val="321F65B4"/>
    <w:rsid w:val="325966DD"/>
    <w:rsid w:val="32811102"/>
    <w:rsid w:val="32AC4A97"/>
    <w:rsid w:val="32AE7E64"/>
    <w:rsid w:val="32C27B99"/>
    <w:rsid w:val="32D30C1D"/>
    <w:rsid w:val="33297F74"/>
    <w:rsid w:val="33405D76"/>
    <w:rsid w:val="334912C7"/>
    <w:rsid w:val="33497F9F"/>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40F90C7F"/>
    <w:rsid w:val="411357D5"/>
    <w:rsid w:val="42536595"/>
    <w:rsid w:val="42A2251F"/>
    <w:rsid w:val="42AA1947"/>
    <w:rsid w:val="42B82C2B"/>
    <w:rsid w:val="42C56DBF"/>
    <w:rsid w:val="42D252ED"/>
    <w:rsid w:val="42DC3ED2"/>
    <w:rsid w:val="42EF2015"/>
    <w:rsid w:val="42FE74B6"/>
    <w:rsid w:val="43181805"/>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7E4CF2"/>
    <w:rsid w:val="4E93279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9417C5"/>
    <w:rsid w:val="54A95133"/>
    <w:rsid w:val="54D00DD3"/>
    <w:rsid w:val="551132B2"/>
    <w:rsid w:val="5549548F"/>
    <w:rsid w:val="557C0A69"/>
    <w:rsid w:val="55887E86"/>
    <w:rsid w:val="55891293"/>
    <w:rsid w:val="558D30F0"/>
    <w:rsid w:val="55D022A9"/>
    <w:rsid w:val="55EC46F1"/>
    <w:rsid w:val="566768F0"/>
    <w:rsid w:val="5676087B"/>
    <w:rsid w:val="56C10498"/>
    <w:rsid w:val="56D25390"/>
    <w:rsid w:val="56D652C3"/>
    <w:rsid w:val="56E91712"/>
    <w:rsid w:val="57160486"/>
    <w:rsid w:val="57355E7D"/>
    <w:rsid w:val="573D0770"/>
    <w:rsid w:val="5756176F"/>
    <w:rsid w:val="57601DAE"/>
    <w:rsid w:val="576905EF"/>
    <w:rsid w:val="579D0C33"/>
    <w:rsid w:val="57FB1974"/>
    <w:rsid w:val="57FD6362"/>
    <w:rsid w:val="581574A4"/>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CE2ABF"/>
    <w:rsid w:val="624F051E"/>
    <w:rsid w:val="625A0DB8"/>
    <w:rsid w:val="627F348D"/>
    <w:rsid w:val="62D500B6"/>
    <w:rsid w:val="62D82626"/>
    <w:rsid w:val="63042C41"/>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5757F8"/>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6C170B"/>
    <w:rsid w:val="739D7F65"/>
    <w:rsid w:val="73BA6DE5"/>
    <w:rsid w:val="73CB58A7"/>
    <w:rsid w:val="73E56406"/>
    <w:rsid w:val="74055B10"/>
    <w:rsid w:val="74264B95"/>
    <w:rsid w:val="74274932"/>
    <w:rsid w:val="743025E1"/>
    <w:rsid w:val="74553B4B"/>
    <w:rsid w:val="745E6993"/>
    <w:rsid w:val="74725AF1"/>
    <w:rsid w:val="74745B1F"/>
    <w:rsid w:val="749D661B"/>
    <w:rsid w:val="74B86816"/>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5">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style>
  <w:style w:type="paragraph" w:styleId="6">
    <w:name w:val="Body Text Indent"/>
    <w:basedOn w:val="1"/>
    <w:qFormat/>
    <w:uiPriority w:val="0"/>
    <w:pPr>
      <w:ind w:left="-105" w:firstLine="232" w:firstLineChars="232"/>
    </w:pPr>
    <w:rPr>
      <w:rFonts w:eastAsia="仿宋_GB2312"/>
      <w:sz w:val="32"/>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qFormat/>
    <w:uiPriority w:val="0"/>
    <w:pPr>
      <w:spacing w:after="120"/>
      <w:ind w:left="200" w:leftChars="200"/>
    </w:pPr>
    <w:rPr>
      <w:sz w:val="16"/>
      <w:szCs w:val="1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character" w:styleId="14">
    <w:name w:val="Hyperlink"/>
    <w:qFormat/>
    <w:uiPriority w:val="0"/>
    <w:rPr>
      <w:color w:val="006699"/>
      <w:u w:val="single"/>
    </w:rPr>
  </w:style>
  <w:style w:type="character" w:customStyle="1" w:styleId="15">
    <w:name w:val="font51"/>
    <w:basedOn w:val="12"/>
    <w:qFormat/>
    <w:uiPriority w:val="0"/>
    <w:rPr>
      <w:rFonts w:hint="default" w:ascii="Times New Roman" w:hAnsi="Times New Roman" w:cs="Times New Roman"/>
      <w:color w:val="000000"/>
      <w:sz w:val="22"/>
      <w:szCs w:val="22"/>
      <w:u w:val="none"/>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41"/>
    <w:basedOn w:val="12"/>
    <w:qFormat/>
    <w:uiPriority w:val="0"/>
    <w:rPr>
      <w:rFonts w:hint="eastAsia" w:ascii="宋体" w:hAnsi="宋体" w:eastAsia="宋体" w:cs="宋体"/>
      <w:color w:val="000000"/>
      <w:sz w:val="22"/>
      <w:szCs w:val="22"/>
      <w:u w:val="none"/>
    </w:rPr>
  </w:style>
  <w:style w:type="character" w:customStyle="1" w:styleId="18">
    <w:name w:val="font11"/>
    <w:basedOn w:val="12"/>
    <w:qFormat/>
    <w:uiPriority w:val="0"/>
    <w:rPr>
      <w:rFonts w:hint="eastAsia" w:ascii="宋体" w:hAnsi="宋体" w:eastAsia="宋体" w:cs="宋体"/>
      <w:color w:val="000000"/>
      <w:sz w:val="20"/>
      <w:szCs w:val="20"/>
      <w:u w:val="none"/>
      <w:vertAlign w:val="superscript"/>
    </w:rPr>
  </w:style>
  <w:style w:type="character" w:customStyle="1" w:styleId="19">
    <w:name w:val="font31"/>
    <w:basedOn w:val="12"/>
    <w:qFormat/>
    <w:uiPriority w:val="0"/>
    <w:rPr>
      <w:rFonts w:hint="default" w:ascii="Times New Roman" w:hAnsi="Times New Roman" w:cs="Times New Roman"/>
      <w:color w:val="000000"/>
      <w:sz w:val="22"/>
      <w:szCs w:val="22"/>
      <w:u w:val="none"/>
    </w:rPr>
  </w:style>
  <w:style w:type="character" w:customStyle="1" w:styleId="20">
    <w:name w:val="font61"/>
    <w:basedOn w:val="12"/>
    <w:qFormat/>
    <w:uiPriority w:val="0"/>
    <w:rPr>
      <w:rFonts w:hint="default" w:ascii="Times New Roman" w:hAnsi="Times New Roman" w:cs="Times New Roman"/>
      <w:color w:val="000000"/>
      <w:sz w:val="22"/>
      <w:szCs w:val="22"/>
      <w:u w:val="none"/>
    </w:rPr>
  </w:style>
  <w:style w:type="character" w:customStyle="1" w:styleId="21">
    <w:name w:val="font01"/>
    <w:basedOn w:val="12"/>
    <w:uiPriority w:val="0"/>
    <w:rPr>
      <w:rFonts w:ascii="font-weight : 400" w:hAnsi="font-weight : 400" w:eastAsia="font-weight : 400" w:cs="font-weight : 400"/>
      <w:color w:val="000000"/>
      <w:sz w:val="22"/>
      <w:szCs w:val="22"/>
      <w:u w:val="none"/>
    </w:rPr>
  </w:style>
  <w:style w:type="paragraph" w:customStyle="1" w:styleId="22">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3">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0</TotalTime>
  <ScaleCrop>false</ScaleCrop>
  <LinksUpToDate>false</LinksUpToDate>
  <CharactersWithSpaces>5675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2020-07-24T08:46:00Z</cp:lastPrinted>
  <dcterms:modified xsi:type="dcterms:W3CDTF">2020-07-24T09:53:32Z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