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99</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第二届新能源汽车关键技术轻量化国赛耗材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第二届新能源汽车关键技术轻量化国赛耗材项目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标段一：</w:t>
      </w:r>
      <w:r>
        <w:rPr>
          <w:rFonts w:hint="eastAsia" w:ascii="黑体" w:hAnsi="黑体" w:eastAsia="黑体" w:cs="黑体"/>
          <w:b/>
          <w:bCs/>
          <w:sz w:val="28"/>
          <w:szCs w:val="28"/>
          <w:lang w:val="en-US" w:eastAsia="zh-CN"/>
        </w:rPr>
        <w:t>轻量化车辆配件</w:t>
      </w:r>
    </w:p>
    <w:tbl>
      <w:tblPr>
        <w:tblStyle w:val="11"/>
        <w:tblW w:w="9285" w:type="dxa"/>
        <w:tblInd w:w="0" w:type="dxa"/>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制动主缸（含内六角圆柱头螺丝M6*85及螺母，*2）</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配置清单：制动主缸（含内六角圆柱头螺丝M6*85及螺母，*2）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1.制动系统采用双主缸设计，分别控制前轮制动回路和后轮制动回路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2.制动主缸安装孔中心距为：40mm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3.制动主缸缸径：0.7mm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03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制动卡钳（含螺丝圆柱头内六角M8*20，*8)</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配置清单：制动卡钳（含螺丝圆柱头内六角M8*20，*8)4件。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1.对置双活塞卡钳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2.安装孔固定孔直径为8mm，安装孔中心距安52mm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0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制动油管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1.制动油管分为前轮制动回路、后轮制动回路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2.前后轮制动回路各包含一个制动液压开关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3.制动油管1套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4.油管螺丝为10mm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4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转向机总成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1.转向机外壳材质：7075进口铝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2.方向盘转角：±150°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3.转向角传动比：5:1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4.外壳连接形式：螺纹连接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5.转向机内部安装自润滑轴承及耐磨损衬套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转向柱总成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配置清单：转向轴45#钢1件、转向轴外套筒45#钢1件、转向轴总成焊接1件、十字万向节（含顶丝）1件、轴承6804Z  2件、转向柱安装吊耳2件。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1.转向柱中间采用钢制万向节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2.采用4130钢管和钢制焊接头焊接而成，中间采用钢制万向节传递扭转力</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方向盘快拆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方向盘快拆（含螺丝M6*20及螺母，*6）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1.可以将方向盘快速从转向柱上拆下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2.方向盘通过螺栓与快拆连接，快拆通过花键与转向柱连接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1.方向盘碳纤维板制作而成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2.方向盘手持部分需贴合手部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9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制动踏板总成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清单：制动踏板底座焊接总成1件、制动踏板激光件45#钢1件、制动踏板转轴45#钢2件、脚踏板7075铝支架（含螺丝内六角圆柱头M4*15，*1）1件、铜套（12*9*32）(螺丝M8*50及螺母，*1）1件、制动脚踏板6系铝（含内六角圆柱头螺丝M3*12及螺母，*6）1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制动踏板材质：铝制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制动踏板支架由7075进口铝CNC加工而成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3.前轮后轮制动力可以通过调整制动平衡杆实现调整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车轮胎</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1.轮胎型号：195/55R10C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2.负荷指数速度级别：98/96P</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3.花纹深度：6mm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4.充气气压625(KPa)</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减震器上吊耳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减震器上安装吊耳φ8-φ25.4*8（含螺丝M8*40*4)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减震器下吊耳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减震器下安装吊耳φ8-φ16*8（含螺丝M8*40*4)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防倾杆套件总成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清单：前防倾杆上盖45#钢2件、前防倾杆下盖45#钢2件、后防倾杆上盖45#4钢2件、后防倾杆下盖5#钢2件、防倾杆固定座螺丝（圆柱头M6*20)8件、防倾杆激光件45#钢2件、鱼眼球轴承(含螺丝圆柱头内六角M6*20及螺母，2件、铜套23*20*25，2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车身附件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前杠安装吊耳*2，安全带吊耳片*10（含螺丝），后拖钩*1（含螺丝）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9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1.材质：碳纤维座椅。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2.采用真空导流成型工艺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3.固定孔，座椅底部4个，座椅靠背2个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4.座椅中间采用2mm导流强芯毡局部加强，增加座椅的厚度和刚度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5.座椅预留安装孔位，在安装位置进行碳纤维局部加强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6.座椅底部左右两侧侧安装孔距为180mm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7.座椅质量≤1200g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8.符合人机工程学，可以给车手足够的侧向支撑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头枕</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头枕符合人机工程学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车身覆盖件原材料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车身覆盖件原材料碳纤维板1mm，规格 1*2m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底板覆盖件原材料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底板覆盖件原材料碳纤维板2mm，规格 1*1m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3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防火墙原材料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防火墙原材料铝板0.5mm,规格 1*1m.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碳纤维鼻翼、尾翼</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碳纤维鼻翼、尾翼碳纤维板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1.采用真空导流成型工艺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2.鼻翼采用分模制作，上下部分粘接而成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3.表面纤维：3K斜纹碳纤维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4.表面质量：亮光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5.尾翼长度≤1000mm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8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安全带为5点式安全带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安全带满足SFI技术规范16.5/16.1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 安全带腰带和肩带的宽度为76mm(±2mm)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底板框架原材料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底板框架原材料6063铝合金方管，3米/每根.铝方管的尺寸为25mm*25mm*3mm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1）材质：SAE 4130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2）尺寸：4130管20*1.2，2.3米/每根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5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1)材质：SAE 4130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2）尺寸：4130管16*2，3米/根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5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1)材质：SAE 4130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2）尺寸：4130管25.4*1.6，3米/根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轻量化技术方案设计与展示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x展架立式落地式80x180易拉宝海报设计定制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8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轻量化技术方案设计与展示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flash动画制作二三维3d动画制作光盘刻录</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16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轻量化技术方案设计与展示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铼德 柯达可打印8.5g空白dvd刻录光盘碟片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轻量化技术方案设计与展示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kingston金士顿u盘32g高速usb3.0接口</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57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铝合金底板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加强0.5（台湾）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55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4130 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悬架管材∮20×1.2（台湾）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1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无缝铝合金</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管件6063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2"/>
                <w:szCs w:val="22"/>
                <w:u w:val="none"/>
              </w:rPr>
            </w:pPr>
          </w:p>
        </w:tc>
      </w:tr>
    </w:tbl>
    <w:p>
      <w:pPr>
        <w:pStyle w:val="2"/>
        <w:ind w:firstLine="0" w:firstLineChars="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标段二：轻量化车辆三电系统</w:t>
      </w:r>
    </w:p>
    <w:tbl>
      <w:tblPr>
        <w:tblStyle w:val="11"/>
        <w:tblW w:w="9285" w:type="dxa"/>
        <w:tblInd w:w="0" w:type="dxa"/>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tblCellMar>
            <w:top w:w="0" w:type="dxa"/>
            <w:left w:w="0" w:type="dxa"/>
            <w:bottom w:w="0" w:type="dxa"/>
            <w:right w:w="0"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4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电池及管理系统</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一、电池单体参数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1.额定容量：20Ah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2.额定电压：3.2V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3.持续最大放电倍率：3C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4.瞬间最大放电倍率：6C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二、动力电池总成参数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1.标称电压：60V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2.额定电流：80A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3.电池容量：40Ah</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电机及控制系统</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一．电机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1.额定电压：60V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2.额定功率：3kW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3.额定转速：3000r/min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4.绝缘等级：H级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5.额定电流：56A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6.防护等级：IP55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7.冷却方式：自然冷却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二、控制器（PEU)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1.额定输入电压：60V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2.额定输出电流：50A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3.额定功率：3kW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4.冷却方式：自然冷却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5.与外界通讯方式：CAN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6.工作温度：-20～55℃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车辆控制系统</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主要功能如下：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1.车辆点火开关控制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2.动力电池上、下电控制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3.车辆行驶方向（前进、倒退）控制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4.车辆速度和功率控制，电池输出最大电流50A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5.CAN总线数据通信控制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6.车辆充电控制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7.车辆60V-12V的DC-DC变换器控制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8.车辆运行状态显示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9.远程数据传输及竞赛辅助功能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560" w:lineRule="exact"/>
        <w:rPr>
          <w:rFonts w:hint="default" w:ascii="黑体" w:hAnsi="黑体" w:eastAsia="黑体" w:cs="黑体"/>
          <w:b/>
          <w:bCs/>
          <w:sz w:val="28"/>
          <w:szCs w:val="28"/>
          <w:lang w:val="en-US" w:eastAsia="zh-CN"/>
        </w:rPr>
      </w:pPr>
      <w:r>
        <w:rPr>
          <w:rFonts w:hint="eastAsia" w:ascii="黑体" w:hAnsi="黑体" w:eastAsia="黑体" w:cs="黑体"/>
          <w:b/>
          <w:bCs/>
          <w:sz w:val="28"/>
          <w:szCs w:val="28"/>
          <w:lang w:eastAsia="zh-CN"/>
        </w:rPr>
        <w:t>备注：投标人可以多标段投标，兼投兼中，多标段投标的投标人需分标段制作和封装投标文件，开标的顺序为标段</w:t>
      </w:r>
      <w:r>
        <w:rPr>
          <w:rFonts w:hint="eastAsia" w:ascii="黑体" w:hAnsi="黑体" w:eastAsia="黑体" w:cs="黑体"/>
          <w:b/>
          <w:bCs/>
          <w:sz w:val="28"/>
          <w:szCs w:val="28"/>
          <w:lang w:val="en-US" w:eastAsia="zh-CN"/>
        </w:rPr>
        <w:t>1、标段2。</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第二届新能源汽车关键技术轻量化国赛耗材项目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完成供货安装</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标段一：9.8万元，标段二：8.2万元。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63FCA"/>
    <w:rsid w:val="1387289B"/>
    <w:rsid w:val="13894C62"/>
    <w:rsid w:val="138A3CBD"/>
    <w:rsid w:val="138F6B73"/>
    <w:rsid w:val="13BB045D"/>
    <w:rsid w:val="13BF20EE"/>
    <w:rsid w:val="13DD3993"/>
    <w:rsid w:val="141A7C53"/>
    <w:rsid w:val="141E3E24"/>
    <w:rsid w:val="148A50A1"/>
    <w:rsid w:val="14B61A22"/>
    <w:rsid w:val="14F204A8"/>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68334A"/>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B501BF"/>
    <w:rsid w:val="31E745BA"/>
    <w:rsid w:val="31F604A7"/>
    <w:rsid w:val="33297F74"/>
    <w:rsid w:val="3348262D"/>
    <w:rsid w:val="334912C7"/>
    <w:rsid w:val="336C1CB6"/>
    <w:rsid w:val="33AE7E7D"/>
    <w:rsid w:val="340D52DD"/>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3A70C8"/>
    <w:rsid w:val="38BB2241"/>
    <w:rsid w:val="38E14EED"/>
    <w:rsid w:val="38FF2799"/>
    <w:rsid w:val="394F79A9"/>
    <w:rsid w:val="39555533"/>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2751F"/>
    <w:rsid w:val="55891293"/>
    <w:rsid w:val="55891C35"/>
    <w:rsid w:val="559F0AA9"/>
    <w:rsid w:val="55F34B7A"/>
    <w:rsid w:val="564969BE"/>
    <w:rsid w:val="56513D5F"/>
    <w:rsid w:val="56BA75E8"/>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AF6F2E"/>
    <w:rsid w:val="79B35130"/>
    <w:rsid w:val="79E119B9"/>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style>
  <w:style w:type="paragraph" w:styleId="3">
    <w:name w:val="Body Text"/>
    <w:basedOn w:val="1"/>
    <w:link w:val="15"/>
    <w:qFormat/>
    <w:uiPriority w:val="99"/>
    <w:pPr>
      <w:spacing w:after="120"/>
    </w:pPr>
  </w:style>
  <w:style w:type="paragraph" w:styleId="6">
    <w:name w:val="Body Text Indent"/>
    <w:basedOn w:val="1"/>
    <w:link w:val="18"/>
    <w:qFormat/>
    <w:uiPriority w:val="99"/>
    <w:pPr>
      <w:ind w:left="-105" w:firstLine="232" w:firstLineChars="232"/>
    </w:pPr>
    <w:rPr>
      <w:rFonts w:eastAsia="仿宋_GB2312"/>
      <w:sz w:val="32"/>
      <w:szCs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auto"/>
      <w:u w:val="single"/>
    </w:rPr>
  </w:style>
  <w:style w:type="character" w:customStyle="1" w:styleId="15">
    <w:name w:val="正文文本 字符"/>
    <w:link w:val="3"/>
    <w:semiHidden/>
    <w:qFormat/>
    <w:uiPriority w:val="99"/>
    <w:rPr>
      <w:rFonts w:cs="Calibri"/>
      <w:szCs w:val="21"/>
    </w:rPr>
  </w:style>
  <w:style w:type="character" w:customStyle="1" w:styleId="16">
    <w:name w:val="正文文本首行缩进 字符"/>
    <w:link w:val="2"/>
    <w:semiHidden/>
    <w:qFormat/>
    <w:uiPriority w:val="99"/>
    <w:rPr>
      <w:rFonts w:cs="Calibri"/>
      <w:szCs w:val="21"/>
    </w:rPr>
  </w:style>
  <w:style w:type="character" w:customStyle="1" w:styleId="17">
    <w:name w:val="标题 1 字符"/>
    <w:link w:val="4"/>
    <w:qFormat/>
    <w:uiPriority w:val="9"/>
    <w:rPr>
      <w:rFonts w:cs="Calibri"/>
      <w:b/>
      <w:bCs/>
      <w:kern w:val="44"/>
      <w:sz w:val="44"/>
      <w:szCs w:val="44"/>
    </w:rPr>
  </w:style>
  <w:style w:type="character" w:customStyle="1" w:styleId="18">
    <w:name w:val="正文文本缩进 字符"/>
    <w:link w:val="6"/>
    <w:semiHidden/>
    <w:qFormat/>
    <w:uiPriority w:val="99"/>
    <w:rPr>
      <w:rFonts w:cs="Calibri"/>
      <w:szCs w:val="21"/>
    </w:rPr>
  </w:style>
  <w:style w:type="character" w:customStyle="1" w:styleId="19">
    <w:name w:val="批注框文本 字符"/>
    <w:link w:val="8"/>
    <w:qFormat/>
    <w:locked/>
    <w:uiPriority w:val="99"/>
    <w:rPr>
      <w:rFonts w:ascii="Calibri" w:hAnsi="Calibri" w:cs="Calibri"/>
      <w:kern w:val="2"/>
      <w:sz w:val="18"/>
      <w:szCs w:val="18"/>
    </w:rPr>
  </w:style>
  <w:style w:type="character" w:customStyle="1" w:styleId="20">
    <w:name w:val="页脚 字符"/>
    <w:link w:val="9"/>
    <w:qFormat/>
    <w:locked/>
    <w:uiPriority w:val="99"/>
    <w:rPr>
      <w:rFonts w:ascii="Calibri" w:hAnsi="Calibri" w:cs="Calibri"/>
      <w:kern w:val="2"/>
      <w:sz w:val="18"/>
      <w:szCs w:val="18"/>
    </w:rPr>
  </w:style>
  <w:style w:type="character" w:customStyle="1" w:styleId="21">
    <w:name w:val="页眉 字符"/>
    <w:link w:val="10"/>
    <w:qFormat/>
    <w:locked/>
    <w:uiPriority w:val="99"/>
    <w:rPr>
      <w:rFonts w:ascii="Calibri" w:hAnsi="Calibri" w:cs="Calibri"/>
      <w:kern w:val="2"/>
      <w:sz w:val="18"/>
      <w:szCs w:val="18"/>
    </w:rPr>
  </w:style>
  <w:style w:type="paragraph" w:customStyle="1" w:styleId="2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4">
    <w:name w:val="font91"/>
    <w:qFormat/>
    <w:uiPriority w:val="99"/>
    <w:rPr>
      <w:rFonts w:ascii="Times New Roman" w:hAnsi="Times New Roman" w:cs="Times New Roman"/>
      <w:color w:val="000000"/>
      <w:sz w:val="24"/>
      <w:szCs w:val="24"/>
      <w:u w:val="none"/>
    </w:rPr>
  </w:style>
  <w:style w:type="character" w:customStyle="1" w:styleId="25">
    <w:name w:val="font101"/>
    <w:qFormat/>
    <w:uiPriority w:val="99"/>
    <w:rPr>
      <w:rFonts w:ascii="宋体" w:hAnsi="宋体" w:eastAsia="宋体" w:cs="宋体"/>
      <w:color w:val="000000"/>
      <w:sz w:val="24"/>
      <w:szCs w:val="24"/>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default" w:ascii="Times New Roman" w:hAnsi="Times New Roman" w:cs="Times New Roman"/>
      <w:color w:val="000000"/>
      <w:sz w:val="22"/>
      <w:szCs w:val="22"/>
      <w:u w:val="none"/>
    </w:rPr>
  </w:style>
  <w:style w:type="character" w:customStyle="1" w:styleId="29">
    <w:name w:val="font51"/>
    <w:basedOn w:val="13"/>
    <w:qFormat/>
    <w:uiPriority w:val="0"/>
    <w:rPr>
      <w:rFonts w:hint="default" w:ascii="Times New Roman" w:hAnsi="Times New Roman" w:cs="Times New Roman"/>
      <w:color w:val="000000"/>
      <w:sz w:val="22"/>
      <w:szCs w:val="22"/>
      <w:u w:val="none"/>
    </w:rPr>
  </w:style>
  <w:style w:type="character" w:customStyle="1" w:styleId="30">
    <w:name w:val="font41"/>
    <w:basedOn w:val="13"/>
    <w:uiPriority w:val="0"/>
    <w:rPr>
      <w:rFonts w:hint="eastAsia" w:ascii="宋体" w:hAnsi="宋体" w:eastAsia="宋体" w:cs="宋体"/>
      <w:color w:val="000000"/>
      <w:sz w:val="20"/>
      <w:szCs w:val="20"/>
      <w:u w:val="none"/>
      <w:vertAlign w:val="superscript"/>
    </w:rPr>
  </w:style>
  <w:style w:type="character" w:customStyle="1" w:styleId="31">
    <w:name w:val="font11"/>
    <w:basedOn w:val="13"/>
    <w:uiPriority w:val="0"/>
    <w:rPr>
      <w:rFonts w:hint="eastAsia" w:ascii="宋体" w:hAnsi="宋体" w:eastAsia="宋体" w:cs="宋体"/>
      <w:color w:val="000000"/>
      <w:sz w:val="20"/>
      <w:szCs w:val="20"/>
      <w:u w:val="none"/>
      <w:vertAlign w:val="superscript"/>
    </w:rPr>
  </w:style>
  <w:style w:type="character" w:customStyle="1" w:styleId="32">
    <w:name w:val="font71"/>
    <w:basedOn w:val="13"/>
    <w:uiPriority w:val="0"/>
    <w:rPr>
      <w:rFonts w:ascii="新宋体" w:hAnsi="新宋体" w:eastAsia="新宋体" w:cs="新宋体"/>
      <w:color w:val="000000"/>
      <w:sz w:val="20"/>
      <w:szCs w:val="20"/>
      <w:u w:val="none"/>
    </w:rPr>
  </w:style>
  <w:style w:type="character" w:customStyle="1" w:styleId="33">
    <w:name w:val="font61"/>
    <w:basedOn w:val="13"/>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4</TotalTime>
  <ScaleCrop>false</ScaleCrop>
  <LinksUpToDate>false</LinksUpToDate>
  <CharactersWithSpaces>11657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2020-11-02T01:44:00Z</cp:lastPrinted>
  <dcterms:modified xsi:type="dcterms:W3CDTF">2020-11-02T09:14:01Z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