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竞争性谈判</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院总编：2020-</w:t>
      </w:r>
      <w:r>
        <w:rPr>
          <w:rFonts w:hint="eastAsia" w:ascii="楷体_GB2312" w:hAnsi="楷体_GB2312" w:eastAsia="楷体_GB2312" w:cs="楷体_GB2312"/>
          <w:b/>
          <w:bCs/>
          <w:color w:val="000000"/>
          <w:sz w:val="36"/>
          <w:szCs w:val="36"/>
          <w:u w:val="single"/>
          <w:lang w:val="en-US" w:eastAsia="zh-CN"/>
        </w:rPr>
        <w:t>105</w:t>
      </w:r>
      <w:r>
        <w:rPr>
          <w:rFonts w:hint="eastAsia" w:ascii="楷体_GB2312" w:hAnsi="楷体_GB2312" w:eastAsia="楷体_GB2312" w:cs="楷体_GB2312"/>
          <w:b/>
          <w:bCs/>
          <w:color w:val="000000"/>
          <w:sz w:val="36"/>
          <w:szCs w:val="36"/>
          <w:u w:val="single"/>
        </w:rPr>
        <w:t>#</w:t>
      </w:r>
    </w:p>
    <w:p>
      <w:pPr>
        <w:ind w:left="1843" w:hanging="1843" w:hangingChars="51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val="en-US" w:eastAsia="zh-CN"/>
        </w:rPr>
        <w:t>测量训练系统项目</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20年</w:t>
      </w:r>
      <w:r>
        <w:rPr>
          <w:rFonts w:hint="eastAsia" w:ascii="黑体" w:eastAsia="黑体" w:cs="黑体"/>
          <w:color w:val="000000"/>
          <w:sz w:val="44"/>
          <w:szCs w:val="44"/>
          <w:lang w:val="en-US" w:eastAsia="zh-CN"/>
        </w:rPr>
        <w:t>11</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7"/>
        <w:spacing w:line="600" w:lineRule="exact"/>
        <w:ind w:firstLine="742"/>
        <w:rPr>
          <w:rFonts w:ascii="仿宋_GB2312"/>
          <w:color w:val="000000"/>
          <w:szCs w:val="32"/>
        </w:rPr>
      </w:pPr>
    </w:p>
    <w:p>
      <w:pPr>
        <w:pStyle w:val="7"/>
        <w:spacing w:line="600" w:lineRule="exact"/>
        <w:ind w:firstLine="742"/>
        <w:rPr>
          <w:rFonts w:ascii="仿宋_GB2312"/>
          <w:color w:val="000000"/>
          <w:szCs w:val="32"/>
        </w:rPr>
      </w:pPr>
    </w:p>
    <w:p>
      <w:pPr>
        <w:pStyle w:val="7"/>
        <w:spacing w:line="600" w:lineRule="exact"/>
        <w:ind w:left="0" w:firstLine="0" w:firstLineChars="0"/>
        <w:rPr>
          <w:rFonts w:ascii="仿宋_GB2312"/>
          <w:color w:val="000000"/>
          <w:szCs w:val="32"/>
        </w:rPr>
      </w:pPr>
    </w:p>
    <w:p>
      <w:pPr>
        <w:pStyle w:val="7"/>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val="en-US" w:eastAsia="zh-CN"/>
        </w:rPr>
        <w:t>测量训练系统项目</w:t>
      </w:r>
      <w:r>
        <w:rPr>
          <w:rFonts w:hint="eastAsia" w:ascii="仿宋_GB2312" w:hAnsi="仿宋_GB2312" w:eastAsia="仿宋_GB2312" w:cs="仿宋_GB2312"/>
          <w:sz w:val="28"/>
          <w:szCs w:val="28"/>
        </w:rPr>
        <w:t>进行竞争性谈判采购。</w:t>
      </w:r>
    </w:p>
    <w:p>
      <w:pPr>
        <w:spacing w:line="560" w:lineRule="exact"/>
        <w:ind w:firstLine="560" w:firstLineChars="200"/>
        <w:rPr>
          <w:rFonts w:ascii="黑体" w:eastAsia="黑体"/>
          <w:sz w:val="28"/>
          <w:szCs w:val="28"/>
        </w:rPr>
      </w:pPr>
      <w:r>
        <w:rPr>
          <w:rFonts w:hint="eastAsia" w:ascii="黑体" w:eastAsia="黑体"/>
          <w:sz w:val="28"/>
          <w:szCs w:val="28"/>
        </w:rPr>
        <w:t>一、项目内容</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2500"/>
        <w:gridCol w:w="1167"/>
        <w:gridCol w:w="16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49" w:type="dxa"/>
            <w:vAlign w:val="center"/>
          </w:tcPr>
          <w:p>
            <w:pPr>
              <w:jc w:val="center"/>
              <w:rPr>
                <w:b/>
                <w:bCs/>
                <w:sz w:val="22"/>
                <w:szCs w:val="22"/>
              </w:rPr>
            </w:pPr>
            <w:r>
              <w:rPr>
                <w:rFonts w:hint="eastAsia"/>
                <w:b/>
                <w:bCs/>
                <w:sz w:val="22"/>
                <w:szCs w:val="22"/>
              </w:rPr>
              <w:t>序号</w:t>
            </w:r>
          </w:p>
        </w:tc>
        <w:tc>
          <w:tcPr>
            <w:tcW w:w="2500" w:type="dxa"/>
            <w:vAlign w:val="center"/>
          </w:tcPr>
          <w:p>
            <w:pPr>
              <w:jc w:val="center"/>
              <w:rPr>
                <w:b/>
                <w:bCs/>
                <w:sz w:val="22"/>
                <w:szCs w:val="22"/>
              </w:rPr>
            </w:pPr>
            <w:r>
              <w:rPr>
                <w:b/>
                <w:bCs/>
                <w:sz w:val="22"/>
                <w:szCs w:val="22"/>
              </w:rPr>
              <w:t>名称</w:t>
            </w:r>
          </w:p>
        </w:tc>
        <w:tc>
          <w:tcPr>
            <w:tcW w:w="1167" w:type="dxa"/>
            <w:vAlign w:val="center"/>
          </w:tcPr>
          <w:p>
            <w:pPr>
              <w:jc w:val="center"/>
              <w:rPr>
                <w:b/>
                <w:bCs/>
                <w:sz w:val="22"/>
                <w:szCs w:val="22"/>
              </w:rPr>
            </w:pPr>
            <w:r>
              <w:rPr>
                <w:b/>
                <w:bCs/>
                <w:sz w:val="22"/>
                <w:szCs w:val="22"/>
              </w:rPr>
              <w:t>数量</w:t>
            </w:r>
          </w:p>
        </w:tc>
        <w:tc>
          <w:tcPr>
            <w:tcW w:w="1620" w:type="dxa"/>
            <w:vAlign w:val="center"/>
          </w:tcPr>
          <w:p>
            <w:pPr>
              <w:jc w:val="center"/>
              <w:rPr>
                <w:b/>
                <w:bCs/>
                <w:sz w:val="22"/>
                <w:szCs w:val="22"/>
              </w:rPr>
            </w:pPr>
            <w:r>
              <w:rPr>
                <w:b/>
                <w:bCs/>
                <w:sz w:val="22"/>
                <w:szCs w:val="22"/>
              </w:rPr>
              <w:t>单价</w:t>
            </w:r>
          </w:p>
        </w:tc>
        <w:tc>
          <w:tcPr>
            <w:tcW w:w="1923" w:type="dxa"/>
            <w:vAlign w:val="center"/>
          </w:tcPr>
          <w:p>
            <w:pPr>
              <w:jc w:val="center"/>
              <w:rPr>
                <w:rFonts w:hint="eastAsia" w:eastAsia="宋体"/>
                <w:b/>
                <w:bCs/>
                <w:sz w:val="22"/>
                <w:szCs w:val="22"/>
                <w:lang w:eastAsia="zh-CN"/>
              </w:rPr>
            </w:pPr>
            <w:r>
              <w:rPr>
                <w:rFonts w:hint="eastAsia"/>
                <w:b/>
                <w:bCs/>
                <w:sz w:val="22"/>
                <w:szCs w:val="2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1</w:t>
            </w:r>
          </w:p>
        </w:tc>
        <w:tc>
          <w:tcPr>
            <w:tcW w:w="2500" w:type="dxa"/>
            <w:vAlign w:val="center"/>
          </w:tcPr>
          <w:p>
            <w:pPr>
              <w:jc w:val="center"/>
              <w:rPr>
                <w:sz w:val="24"/>
                <w:szCs w:val="24"/>
              </w:rPr>
            </w:pPr>
            <w:r>
              <w:rPr>
                <w:rFonts w:hint="eastAsia"/>
                <w:color w:val="000000"/>
                <w:sz w:val="20"/>
                <w:szCs w:val="20"/>
              </w:rPr>
              <w:t>测量单元</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4"/>
                <w:szCs w:val="24"/>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2</w:t>
            </w:r>
          </w:p>
        </w:tc>
        <w:tc>
          <w:tcPr>
            <w:tcW w:w="2500" w:type="dxa"/>
            <w:vAlign w:val="center"/>
          </w:tcPr>
          <w:p>
            <w:pPr>
              <w:jc w:val="center"/>
              <w:rPr>
                <w:sz w:val="24"/>
                <w:szCs w:val="24"/>
              </w:rPr>
            </w:pPr>
            <w:r>
              <w:rPr>
                <w:rFonts w:hint="eastAsia"/>
                <w:color w:val="000000"/>
                <w:sz w:val="20"/>
                <w:szCs w:val="20"/>
              </w:rPr>
              <w:t>MPS小车</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4"/>
                <w:szCs w:val="24"/>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3</w:t>
            </w:r>
          </w:p>
        </w:tc>
        <w:tc>
          <w:tcPr>
            <w:tcW w:w="2500" w:type="dxa"/>
            <w:vAlign w:val="center"/>
          </w:tcPr>
          <w:p>
            <w:pPr>
              <w:jc w:val="center"/>
              <w:rPr>
                <w:sz w:val="24"/>
                <w:szCs w:val="24"/>
              </w:rPr>
            </w:pPr>
            <w:r>
              <w:rPr>
                <w:rFonts w:hint="eastAsia"/>
                <w:color w:val="000000"/>
                <w:sz w:val="20"/>
                <w:szCs w:val="20"/>
              </w:rPr>
              <w:t>控制面板</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4"/>
                <w:szCs w:val="24"/>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4</w:t>
            </w:r>
          </w:p>
        </w:tc>
        <w:tc>
          <w:tcPr>
            <w:tcW w:w="2500" w:type="dxa"/>
            <w:vAlign w:val="center"/>
          </w:tcPr>
          <w:p>
            <w:pPr>
              <w:jc w:val="center"/>
              <w:rPr>
                <w:sz w:val="24"/>
                <w:szCs w:val="24"/>
              </w:rPr>
            </w:pPr>
            <w:r>
              <w:rPr>
                <w:rFonts w:hint="eastAsia"/>
                <w:color w:val="000000"/>
                <w:sz w:val="20"/>
                <w:szCs w:val="20"/>
              </w:rPr>
              <w:t>PLC模块1512</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4"/>
                <w:szCs w:val="24"/>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5</w:t>
            </w:r>
          </w:p>
        </w:tc>
        <w:tc>
          <w:tcPr>
            <w:tcW w:w="2500" w:type="dxa"/>
            <w:vAlign w:val="center"/>
          </w:tcPr>
          <w:p>
            <w:pPr>
              <w:jc w:val="center"/>
              <w:rPr>
                <w:sz w:val="24"/>
                <w:szCs w:val="24"/>
              </w:rPr>
            </w:pPr>
            <w:r>
              <w:rPr>
                <w:rFonts w:hint="eastAsia"/>
                <w:color w:val="000000"/>
                <w:sz w:val="20"/>
                <w:szCs w:val="20"/>
              </w:rPr>
              <w:t>数字量正交线</w:t>
            </w:r>
          </w:p>
        </w:tc>
        <w:tc>
          <w:tcPr>
            <w:tcW w:w="1167" w:type="dxa"/>
            <w:vAlign w:val="center"/>
          </w:tcPr>
          <w:p>
            <w:pPr>
              <w:jc w:val="center"/>
              <w:rPr>
                <w:sz w:val="24"/>
                <w:szCs w:val="24"/>
              </w:rPr>
            </w:pPr>
            <w:r>
              <w:rPr>
                <w:rFonts w:hint="eastAsia"/>
                <w:color w:val="000000"/>
                <w:sz w:val="20"/>
                <w:szCs w:val="20"/>
              </w:rPr>
              <w:t>2</w:t>
            </w:r>
          </w:p>
        </w:tc>
        <w:tc>
          <w:tcPr>
            <w:tcW w:w="1620" w:type="dxa"/>
            <w:vAlign w:val="center"/>
          </w:tcPr>
          <w:p>
            <w:pPr>
              <w:jc w:val="center"/>
              <w:rPr>
                <w:sz w:val="24"/>
                <w:szCs w:val="24"/>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6</w:t>
            </w:r>
          </w:p>
        </w:tc>
        <w:tc>
          <w:tcPr>
            <w:tcW w:w="2500" w:type="dxa"/>
            <w:vAlign w:val="center"/>
          </w:tcPr>
          <w:p>
            <w:pPr>
              <w:jc w:val="center"/>
              <w:rPr>
                <w:sz w:val="24"/>
                <w:szCs w:val="24"/>
              </w:rPr>
            </w:pPr>
            <w:r>
              <w:rPr>
                <w:rFonts w:hint="eastAsia"/>
                <w:color w:val="000000"/>
                <w:sz w:val="20"/>
                <w:szCs w:val="20"/>
              </w:rPr>
              <w:t>模拟量正交线</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4"/>
                <w:szCs w:val="24"/>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7</w:t>
            </w:r>
          </w:p>
        </w:tc>
        <w:tc>
          <w:tcPr>
            <w:tcW w:w="2500" w:type="dxa"/>
            <w:vAlign w:val="center"/>
          </w:tcPr>
          <w:p>
            <w:pPr>
              <w:jc w:val="center"/>
              <w:rPr>
                <w:sz w:val="24"/>
                <w:szCs w:val="24"/>
              </w:rPr>
            </w:pPr>
            <w:r>
              <w:rPr>
                <w:rFonts w:hint="eastAsia"/>
                <w:color w:val="000000"/>
                <w:sz w:val="20"/>
                <w:szCs w:val="20"/>
              </w:rPr>
              <w:t>稳压电源</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4"/>
                <w:szCs w:val="24"/>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8</w:t>
            </w:r>
          </w:p>
        </w:tc>
        <w:tc>
          <w:tcPr>
            <w:tcW w:w="2500" w:type="dxa"/>
            <w:vAlign w:val="center"/>
          </w:tcPr>
          <w:p>
            <w:pPr>
              <w:jc w:val="center"/>
              <w:rPr>
                <w:sz w:val="24"/>
                <w:szCs w:val="24"/>
              </w:rPr>
            </w:pPr>
            <w:r>
              <w:rPr>
                <w:rFonts w:hint="eastAsia"/>
                <w:color w:val="000000"/>
                <w:sz w:val="20"/>
                <w:szCs w:val="20"/>
              </w:rPr>
              <w:t>安装调试</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4"/>
                <w:szCs w:val="24"/>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10</w:t>
            </w:r>
          </w:p>
        </w:tc>
        <w:tc>
          <w:tcPr>
            <w:tcW w:w="2500" w:type="dxa"/>
            <w:vAlign w:val="center"/>
          </w:tcPr>
          <w:p>
            <w:pPr>
              <w:jc w:val="center"/>
              <w:rPr>
                <w:sz w:val="24"/>
                <w:szCs w:val="24"/>
              </w:rPr>
            </w:pPr>
            <w:r>
              <w:rPr>
                <w:rFonts w:hint="eastAsia"/>
                <w:color w:val="000000"/>
                <w:sz w:val="20"/>
                <w:szCs w:val="20"/>
              </w:rPr>
              <w:t>15针电缆</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4"/>
                <w:szCs w:val="24"/>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11</w:t>
            </w:r>
          </w:p>
        </w:tc>
        <w:tc>
          <w:tcPr>
            <w:tcW w:w="2500" w:type="dxa"/>
            <w:vAlign w:val="center"/>
          </w:tcPr>
          <w:p>
            <w:pPr>
              <w:jc w:val="center"/>
              <w:rPr>
                <w:sz w:val="24"/>
                <w:szCs w:val="24"/>
              </w:rPr>
            </w:pPr>
            <w:r>
              <w:rPr>
                <w:rFonts w:hint="eastAsia"/>
                <w:color w:val="000000"/>
                <w:sz w:val="20"/>
                <w:szCs w:val="20"/>
              </w:rPr>
              <w:t>仿真盒</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4"/>
                <w:szCs w:val="24"/>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9</w:t>
            </w:r>
          </w:p>
        </w:tc>
        <w:tc>
          <w:tcPr>
            <w:tcW w:w="2500" w:type="dxa"/>
            <w:vAlign w:val="center"/>
          </w:tcPr>
          <w:p>
            <w:pPr>
              <w:jc w:val="center"/>
              <w:rPr>
                <w:sz w:val="24"/>
                <w:szCs w:val="24"/>
              </w:rPr>
            </w:pPr>
            <w:r>
              <w:rPr>
                <w:rFonts w:hint="eastAsia"/>
                <w:color w:val="000000"/>
                <w:sz w:val="20"/>
                <w:szCs w:val="20"/>
              </w:rPr>
              <w:t>C接口</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4"/>
                <w:szCs w:val="24"/>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12</w:t>
            </w:r>
          </w:p>
        </w:tc>
        <w:tc>
          <w:tcPr>
            <w:tcW w:w="2500" w:type="dxa"/>
            <w:vAlign w:val="center"/>
          </w:tcPr>
          <w:p>
            <w:pPr>
              <w:jc w:val="center"/>
              <w:rPr>
                <w:sz w:val="24"/>
                <w:szCs w:val="24"/>
              </w:rPr>
            </w:pPr>
            <w:r>
              <w:rPr>
                <w:rFonts w:hint="eastAsia"/>
                <w:color w:val="000000"/>
                <w:sz w:val="20"/>
                <w:szCs w:val="20"/>
              </w:rPr>
              <w:t>数字量反交线</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4"/>
                <w:szCs w:val="24"/>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13</w:t>
            </w:r>
          </w:p>
        </w:tc>
        <w:tc>
          <w:tcPr>
            <w:tcW w:w="2500" w:type="dxa"/>
            <w:vAlign w:val="center"/>
          </w:tcPr>
          <w:p>
            <w:pPr>
              <w:jc w:val="center"/>
              <w:rPr>
                <w:sz w:val="24"/>
                <w:szCs w:val="24"/>
              </w:rPr>
            </w:pPr>
            <w:r>
              <w:rPr>
                <w:rFonts w:hint="eastAsia"/>
                <w:color w:val="000000"/>
                <w:sz w:val="20"/>
                <w:szCs w:val="20"/>
              </w:rPr>
              <w:t>模拟量反交线</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4"/>
                <w:szCs w:val="24"/>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14</w:t>
            </w:r>
          </w:p>
        </w:tc>
        <w:tc>
          <w:tcPr>
            <w:tcW w:w="2500" w:type="dxa"/>
            <w:vAlign w:val="center"/>
          </w:tcPr>
          <w:p>
            <w:pPr>
              <w:jc w:val="center"/>
              <w:rPr>
                <w:sz w:val="24"/>
                <w:szCs w:val="24"/>
              </w:rPr>
            </w:pPr>
            <w:r>
              <w:rPr>
                <w:rFonts w:hint="eastAsia"/>
                <w:color w:val="000000"/>
                <w:sz w:val="20"/>
                <w:szCs w:val="20"/>
              </w:rPr>
              <w:t>单向节流阀</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4"/>
                <w:szCs w:val="24"/>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15</w:t>
            </w:r>
          </w:p>
        </w:tc>
        <w:tc>
          <w:tcPr>
            <w:tcW w:w="2500" w:type="dxa"/>
            <w:vAlign w:val="center"/>
          </w:tcPr>
          <w:p>
            <w:pPr>
              <w:jc w:val="center"/>
              <w:rPr>
                <w:sz w:val="24"/>
                <w:szCs w:val="24"/>
              </w:rPr>
            </w:pPr>
            <w:r>
              <w:rPr>
                <w:rFonts w:hint="eastAsia"/>
                <w:color w:val="000000"/>
                <w:sz w:val="20"/>
                <w:szCs w:val="20"/>
              </w:rPr>
              <w:t>工件套装</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4"/>
                <w:szCs w:val="24"/>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16</w:t>
            </w:r>
          </w:p>
        </w:tc>
        <w:tc>
          <w:tcPr>
            <w:tcW w:w="2500" w:type="dxa"/>
            <w:vAlign w:val="center"/>
          </w:tcPr>
          <w:p>
            <w:pPr>
              <w:jc w:val="center"/>
              <w:rPr>
                <w:sz w:val="24"/>
                <w:szCs w:val="24"/>
              </w:rPr>
            </w:pPr>
            <w:r>
              <w:rPr>
                <w:rFonts w:hint="eastAsia"/>
                <w:color w:val="000000"/>
                <w:sz w:val="20"/>
                <w:szCs w:val="20"/>
              </w:rPr>
              <w:t>工具箱</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4"/>
                <w:szCs w:val="24"/>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6" w:type="dxa"/>
            <w:gridSpan w:val="4"/>
            <w:vAlign w:val="center"/>
          </w:tcPr>
          <w:p>
            <w:pPr>
              <w:jc w:val="center"/>
              <w:rPr>
                <w:sz w:val="22"/>
                <w:szCs w:val="22"/>
              </w:rPr>
            </w:pPr>
            <w:r>
              <w:rPr>
                <w:sz w:val="22"/>
                <w:szCs w:val="22"/>
              </w:rPr>
              <w:t>合计</w:t>
            </w:r>
          </w:p>
        </w:tc>
        <w:tc>
          <w:tcPr>
            <w:tcW w:w="1923" w:type="dxa"/>
            <w:vAlign w:val="center"/>
          </w:tcPr>
          <w:p>
            <w:pPr>
              <w:jc w:val="center"/>
              <w:rPr>
                <w:sz w:val="22"/>
                <w:szCs w:val="22"/>
              </w:rPr>
            </w:pPr>
          </w:p>
        </w:tc>
      </w:tr>
    </w:tbl>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eastAsia="zh-CN"/>
        </w:rPr>
      </w:pPr>
      <w:r>
        <w:rPr>
          <w:rStyle w:val="17"/>
          <w:rFonts w:hint="eastAsia" w:ascii="仿宋_GB2312" w:hAnsi="仿宋_GB2312" w:eastAsia="仿宋_GB2312" w:cs="仿宋_GB2312"/>
          <w:sz w:val="28"/>
          <w:szCs w:val="28"/>
          <w:lang w:eastAsia="zh-CN"/>
        </w:rPr>
        <w:t>备注：</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val="en-US" w:eastAsia="zh-CN"/>
        </w:rPr>
      </w:pPr>
      <w:r>
        <w:rPr>
          <w:rStyle w:val="17"/>
          <w:rFonts w:hint="eastAsia" w:ascii="仿宋_GB2312" w:hAnsi="仿宋_GB2312" w:eastAsia="仿宋_GB2312" w:cs="仿宋_GB2312"/>
          <w:sz w:val="28"/>
          <w:szCs w:val="28"/>
          <w:lang w:val="en-US" w:eastAsia="zh-CN"/>
        </w:rPr>
        <w:t>1、投标设备须满足参加世界技能大赛及全国选拔赛“机电一体化”赛项的参赛要求。课程上学生以“工作单元”形式综合体现，可以模块方式自由组合，形成多种模式，训练学生进行机械装调、电气管路连接、程序设计、传感器应用、计算机应用、检修排故、伺服、步进驱动控制等电气设备安装与维修专业技能训练，可以融入现有教学体系中。</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val="en-US" w:eastAsia="zh-CN"/>
        </w:rPr>
      </w:pPr>
      <w:r>
        <w:rPr>
          <w:rStyle w:val="17"/>
          <w:rFonts w:hint="eastAsia" w:ascii="仿宋_GB2312" w:hAnsi="仿宋_GB2312" w:eastAsia="仿宋_GB2312" w:cs="仿宋_GB2312"/>
          <w:sz w:val="28"/>
          <w:szCs w:val="28"/>
          <w:lang w:val="en-US" w:eastAsia="zh-CN"/>
        </w:rPr>
        <w:t>2、签订合同后，供货前，采购人可以要求中标人提供样机，样机功能需与技术参数要求一致。</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lang w:val="en-US" w:eastAsia="zh-CN"/>
        </w:rPr>
        <w:t>测量训练系统需实现以下功能：</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仿宋_GB2312" w:hAnsi="仿宋_GB2312" w:eastAsia="仿宋_GB2312" w:cs="仿宋_GB2312"/>
          <w:color w:val="000000"/>
          <w:sz w:val="24"/>
          <w:szCs w:val="24"/>
        </w:rPr>
      </w:pPr>
      <w:r>
        <w:rPr>
          <w:rStyle w:val="17"/>
          <w:rFonts w:hint="eastAsia" w:ascii="仿宋_GB2312" w:hAnsi="仿宋_GB2312" w:eastAsia="仿宋_GB2312" w:cs="仿宋_GB2312"/>
          <w:color w:val="000000"/>
          <w:sz w:val="24"/>
          <w:szCs w:val="24"/>
        </w:rPr>
        <w:t>1、测量训练系统必需完成下列功能：</w:t>
      </w:r>
      <w:r>
        <w:rPr>
          <w:rFonts w:hint="eastAsia" w:ascii="仿宋_GB2312" w:hAnsi="仿宋_GB2312" w:eastAsia="仿宋_GB2312" w:cs="仿宋_GB2312"/>
          <w:color w:val="000000"/>
          <w:sz w:val="24"/>
          <w:szCs w:val="24"/>
        </w:rPr>
        <w:t>将工件从工序上取出，以将其放到测量台上，测其高度。传送带将这些工件传送到转动提升模块处。通过一个提升摆动动作，该工件被放置在反射光传感器下。之后工件返回工序中。根据测量结果，通过一个电动摆动驱动，工件被遴选到一个滑道上，或者被移动到传输带的末端。带光纤电缆的光学传感器监控传送带上的物料流。可以双向运行传输带。</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反射光传感器需满足既能提供模拟输出信号，也能提供二进制输出信号。从而可以进行不同层次的教学。通过简单的示教功能就可以按测量要求设定二进制的开关输出。在模块内有一个线性运动和一个摆动运动以及一个气动抓爪起作用。可以将静态测量任务自动化，或者从将随机样本从工序中取出。</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Style w:val="17"/>
          <w:rFonts w:hint="eastAsia" w:ascii="仿宋_GB2312" w:hAnsi="仿宋_GB2312" w:eastAsia="仿宋_GB2312" w:cs="仿宋_GB2312"/>
          <w:color w:val="000000"/>
          <w:sz w:val="24"/>
          <w:szCs w:val="24"/>
        </w:rPr>
      </w:pPr>
      <w:r>
        <w:rPr>
          <w:rStyle w:val="17"/>
          <w:rFonts w:hint="eastAsia" w:ascii="仿宋_GB2312" w:hAnsi="仿宋_GB2312" w:eastAsia="仿宋_GB2312" w:cs="仿宋_GB2312"/>
          <w:color w:val="000000"/>
          <w:sz w:val="24"/>
          <w:szCs w:val="24"/>
        </w:rPr>
        <w:t>2、设备必须能够进行下列内容的教学培训：</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（1）机械：工作单元的机械安装与调试；（2）气动：无杆气缸应用；（3）电气：电气元件的布线；（4）传感器：应用模拟量位移传感器了解模拟量传感器的操作模式和应用；（5）PLC：PLC的编程及应用</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Style w:val="17"/>
          <w:rFonts w:hint="eastAsia" w:ascii="仿宋_GB2312" w:hAnsi="仿宋_GB2312" w:eastAsia="仿宋_GB2312" w:cs="仿宋_GB2312"/>
          <w:color w:val="000000"/>
          <w:sz w:val="24"/>
          <w:szCs w:val="24"/>
        </w:rPr>
      </w:pPr>
      <w:r>
        <w:rPr>
          <w:rStyle w:val="17"/>
          <w:rFonts w:hint="eastAsia" w:ascii="仿宋_GB2312" w:hAnsi="仿宋_GB2312" w:eastAsia="仿宋_GB2312" w:cs="仿宋_GB2312"/>
          <w:color w:val="000000"/>
          <w:sz w:val="24"/>
          <w:szCs w:val="24"/>
        </w:rPr>
        <w:t>3、技术参数：</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（1）工作压≥600kPa（6bar）；（2）电源电压：24VDC；（3）圆形工件尺寸：最大40mm；</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（4）8个数字传感器；7个数字执行器；1个模拟量输入；</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（5）铝合金板材厚度不小于32mm，板材尺寸不小于（长x宽x高）700mmx350mmx32mm，板的两面都有安装槽，格栅间隔不小于50mm，槽兼容ITEM型材设备，用于安装工作单元的所有部件</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Style w:val="17"/>
          <w:rFonts w:hint="eastAsia" w:ascii="仿宋_GB2312" w:hAnsi="仿宋_GB2312" w:eastAsia="仿宋_GB2312" w:cs="仿宋_GB2312"/>
          <w:color w:val="000000"/>
          <w:sz w:val="24"/>
          <w:szCs w:val="24"/>
        </w:rPr>
      </w:pPr>
      <w:r>
        <w:rPr>
          <w:rStyle w:val="17"/>
          <w:rFonts w:hint="eastAsia" w:ascii="仿宋_GB2312" w:hAnsi="仿宋_GB2312" w:eastAsia="仿宋_GB2312" w:cs="仿宋_GB2312"/>
          <w:color w:val="000000"/>
          <w:sz w:val="24"/>
          <w:szCs w:val="24"/>
        </w:rPr>
        <w:t>4、▲测量工作单元必需包括下列主要组成部分：（要求提供技术证明材料或实物相片）</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（1）传送带模块：直流电机：24V DC/1.5A，带电机正反转控制器；2个漫反射传感器、光栅、微型I/O 终端，型材板用固定材料，输送隔离器/制动器，电动</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（2）旋转提升模块：工作压力≥600kPa（6bar）</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电源：24VDC，4个数字传感器，3个数字执行机构，C轴转角：0°–180°</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Z 轴行程长度≥20mm，摆动半径（轴中心点到工件中心点）：100mm，可调节摆动提升单元高度</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（3）微型I/O终端  （4）阀板，3x5/2换向控制阀，单电控式 （5）带导向装置的双作用气缸</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（6）摆动缸 （7）4个电磁限位开关 （8）带气爪夹头的平行气爪  （9）型材板固定材料</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（10）测量台：高度：665mm（±10mm）；1个数字/模拟信号（示教）；</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高度可调节；用于角形/圆形工件的工件夹具：≤40mm</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Style w:val="17"/>
          <w:rFonts w:hint="eastAsia" w:ascii="仿宋_GB2312" w:hAnsi="仿宋_GB2312" w:eastAsia="仿宋_GB2312" w:cs="仿宋_GB2312"/>
          <w:color w:val="000000"/>
          <w:sz w:val="24"/>
          <w:szCs w:val="24"/>
        </w:rPr>
      </w:pPr>
      <w:r>
        <w:rPr>
          <w:rStyle w:val="17"/>
          <w:rFonts w:hint="eastAsia" w:ascii="仿宋_GB2312" w:hAnsi="仿宋_GB2312" w:eastAsia="仿宋_GB2312" w:cs="仿宋_GB2312"/>
          <w:color w:val="000000"/>
          <w:sz w:val="24"/>
          <w:szCs w:val="24"/>
        </w:rPr>
        <w:t>▲5</w:t>
      </w:r>
      <w:r>
        <w:rPr>
          <w:rStyle w:val="17"/>
          <w:rFonts w:hint="eastAsia" w:ascii="仿宋_GB2312" w:hAnsi="仿宋_GB2312" w:eastAsia="仿宋_GB2312" w:cs="仿宋_GB2312"/>
          <w:sz w:val="24"/>
          <w:szCs w:val="24"/>
        </w:rPr>
        <w:t>、</w:t>
      </w:r>
      <w:r>
        <w:rPr>
          <w:rStyle w:val="17"/>
          <w:rFonts w:hint="eastAsia" w:ascii="仿宋_GB2312" w:hAnsi="仿宋_GB2312" w:eastAsia="仿宋_GB2312" w:cs="仿宋_GB2312"/>
          <w:color w:val="000000"/>
          <w:sz w:val="24"/>
          <w:szCs w:val="24"/>
        </w:rPr>
        <w:t xml:space="preserve">IO接线端功能： </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智能化接口技术。系统接口的设 计满足可以将两个模块方便地通过SysLink连接在一个PLC上。如果模块配有模拟信号，可以通过15针D-Sub 插口获取这些信号。</w:t>
      </w:r>
      <w:r>
        <w:rPr>
          <w:rStyle w:val="17"/>
          <w:rFonts w:hint="eastAsia" w:ascii="仿宋_GB2312" w:hAnsi="仿宋_GB2312" w:eastAsia="仿宋_GB2312" w:cs="仿宋_GB2312"/>
          <w:sz w:val="24"/>
          <w:szCs w:val="24"/>
        </w:rPr>
        <w:t>投标现场需展示接线端实物，证明其智能化接口技术与技术参数要求的符合性。</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24针IEEE插口（SysLink）；15针Sub-D插口；2x15针D-Sub-HD插口；LED状态指示灯；</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尺寸（高x深）：</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68x77mm</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Style w:val="17"/>
          <w:rFonts w:hint="eastAsia" w:ascii="仿宋_GB2312" w:hAnsi="仿宋_GB2312" w:eastAsia="仿宋_GB2312" w:cs="仿宋_GB2312"/>
          <w:color w:val="000000"/>
          <w:sz w:val="24"/>
          <w:szCs w:val="24"/>
        </w:rPr>
      </w:pPr>
      <w:r>
        <w:rPr>
          <w:rStyle w:val="17"/>
          <w:rFonts w:hint="eastAsia" w:ascii="仿宋_GB2312" w:hAnsi="仿宋_GB2312" w:eastAsia="仿宋_GB2312" w:cs="仿宋_GB2312"/>
          <w:color w:val="000000"/>
          <w:sz w:val="24"/>
          <w:szCs w:val="24"/>
        </w:rPr>
        <w:t>6</w:t>
      </w:r>
      <w:r>
        <w:rPr>
          <w:rStyle w:val="17"/>
          <w:rFonts w:hint="eastAsia" w:ascii="仿宋_GB2312" w:hAnsi="仿宋_GB2312" w:eastAsia="仿宋_GB2312" w:cs="仿宋_GB2312"/>
          <w:sz w:val="24"/>
          <w:szCs w:val="24"/>
        </w:rPr>
        <w:t>、</w:t>
      </w:r>
      <w:r>
        <w:rPr>
          <w:rStyle w:val="17"/>
          <w:rFonts w:hint="eastAsia" w:ascii="仿宋_GB2312" w:hAnsi="仿宋_GB2312" w:eastAsia="仿宋_GB2312" w:cs="仿宋_GB2312"/>
          <w:color w:val="000000"/>
          <w:sz w:val="24"/>
          <w:szCs w:val="24"/>
        </w:rPr>
        <w:t>测量工作单元应具备的扩展控制方式和模块间互换功能：</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（1）扩展控制方式：计算机通过模拟仿真软件与接口盒进行连接，并通过OPC接口协议进行控制。</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（2）模块间互换功能：各个工作单元上的不同功能模块可以任意拆卸下来组合成新的工作单元，并能与其他工作单元配合使用，完成相应工作任务。</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仿宋_GB2312" w:hAnsi="仿宋_GB2312" w:eastAsia="仿宋_GB2312" w:cs="仿宋_GB2312"/>
          <w:sz w:val="24"/>
          <w:szCs w:val="24"/>
        </w:rPr>
      </w:pPr>
      <w:r>
        <w:rPr>
          <w:rStyle w:val="17"/>
          <w:rFonts w:hint="eastAsia" w:ascii="仿宋_GB2312" w:hAnsi="仿宋_GB2312" w:eastAsia="仿宋_GB2312" w:cs="仿宋_GB2312"/>
          <w:sz w:val="24"/>
          <w:szCs w:val="24"/>
        </w:rPr>
        <w:t>7、配套操作开关板：</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完整的控制面板应具备控制面板组件，通讯面板组件、备用面板组件和接口支架组成；</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面板包括各种按键：复膜按键；启动键；停止键；复位键；</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≥2个可任意指 定的控制灯；显示方式：LED显示</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仿宋_GB2312" w:hAnsi="仿宋_GB2312" w:eastAsia="仿宋_GB2312" w:cs="仿宋_GB2312"/>
          <w:sz w:val="24"/>
          <w:szCs w:val="24"/>
        </w:rPr>
      </w:pPr>
      <w:r>
        <w:rPr>
          <w:rStyle w:val="17"/>
          <w:rFonts w:hint="eastAsia" w:ascii="仿宋_GB2312" w:hAnsi="仿宋_GB2312" w:eastAsia="仿宋_GB2312" w:cs="仿宋_GB2312"/>
          <w:sz w:val="24"/>
          <w:szCs w:val="24"/>
        </w:rPr>
        <w:t>8、配套工作站底车：</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使用底车需构成紧凑、可移动的机电一体化实训设备工作单元。工作单元应用部分及PLC控制板应可以方便的安装在底车上。底车前侧应可固定控制面板。底车应装有脚轮。</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高度:≥750mm、宽度:≥350mm、深度:≥700mm</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仿宋_GB2312" w:hAnsi="仿宋_GB2312" w:eastAsia="仿宋_GB2312" w:cs="仿宋_GB2312"/>
          <w:sz w:val="24"/>
          <w:szCs w:val="24"/>
        </w:rPr>
      </w:pPr>
      <w:r>
        <w:rPr>
          <w:rStyle w:val="17"/>
          <w:rFonts w:hint="eastAsia" w:ascii="仿宋_GB2312" w:hAnsi="仿宋_GB2312" w:eastAsia="仿宋_GB2312" w:cs="仿宋_GB2312"/>
          <w:sz w:val="24"/>
          <w:szCs w:val="24"/>
        </w:rPr>
        <w:t>9、配套稳压电源: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输入电压：220/115VAC (47–63 Hz)；输出电压：24VDC，短路保护；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输出电流：最大不超过4.5A；电源线：≥1.3m</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10、配套控制模块1512</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带支撑脚机架，台式，尺寸型号，宽x高：305mmx300mm（±3%）</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集成市场通用编程控制器：19"模块模拟板，带2xSysLink 接口，用于工作单元和控制面板，各有8个数字量输入和8个数字量输出；1x Sub-D 15 针接口，带4个模拟量输入和2个模拟量输出；急停跳线，用于连接安全回路以断开8个数字量输出。可以在实验台或在工作站上使用。 </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稳定、粉末涂层、薄钢板支架系统，可以使用19"模拟模块进行扩展。</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CPU：S7-1512C-1PN；内存：250KB用于程序，1MB用于数据；包括存储卡；</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接口：PROFINET IRT，带2个交换机端口；</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输入/输出端：32x数字输入端（24VDC）；32x数字输出端（24VDC/0.5A）；</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5x模拟输入端，4xU/I，1xR/RTD，16位分辨率；2x模拟量输出端，2xU/I，16位分辨率</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11、配套工具箱</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12、配套仿真盒及线缆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模拟输入量，用于测试PLC程序，该仿真盒还可以模拟和显示模拟量信号(0-10V)。</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13、配套加工工件</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14、配套单向节流阀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黑体" w:eastAsia="黑体"/>
          <w:sz w:val="28"/>
          <w:szCs w:val="28"/>
        </w:rPr>
      </w:pPr>
      <w:r>
        <w:rPr>
          <w:rFonts w:hint="eastAsia" w:ascii="黑体" w:eastAsia="黑体"/>
          <w:sz w:val="28"/>
          <w:szCs w:val="28"/>
        </w:rPr>
        <w:t>二、采购项目预算金额</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本项目预算价</w:t>
      </w:r>
      <w:r>
        <w:rPr>
          <w:rFonts w:hint="eastAsia" w:ascii="仿宋_GB2312" w:hAnsi="仿宋_GB2312" w:eastAsia="仿宋_GB2312" w:cs="仿宋_GB2312"/>
          <w:b/>
          <w:color w:val="000000"/>
          <w:sz w:val="28"/>
          <w:szCs w:val="28"/>
          <w:lang w:val="en-US" w:eastAsia="zh-CN"/>
        </w:rPr>
        <w:t>16.1</w:t>
      </w:r>
      <w:r>
        <w:rPr>
          <w:rFonts w:hint="eastAsia" w:ascii="仿宋_GB2312" w:hAnsi="仿宋_GB2312" w:eastAsia="仿宋_GB2312" w:cs="仿宋_GB2312"/>
          <w:b/>
          <w:color w:val="000000"/>
          <w:sz w:val="28"/>
          <w:szCs w:val="28"/>
        </w:rPr>
        <w:t>万元；投标人报价超过预算的为无效报价，按照未实质性响应招标文件处理</w:t>
      </w:r>
      <w:r>
        <w:rPr>
          <w:rFonts w:hint="eastAsia" w:ascii="仿宋_GB2312" w:hAnsi="仿宋_GB2312" w:eastAsia="仿宋_GB2312" w:cs="仿宋_GB2312"/>
          <w:b/>
          <w:color w:val="000000"/>
          <w:sz w:val="28"/>
          <w:szCs w:val="28"/>
          <w:lang w:eastAsia="zh-CN"/>
        </w:rPr>
        <w:t>，签订合同后</w:t>
      </w:r>
      <w:r>
        <w:rPr>
          <w:rFonts w:hint="eastAsia" w:ascii="仿宋_GB2312" w:hAnsi="仿宋_GB2312" w:eastAsia="仿宋_GB2312" w:cs="仿宋_GB2312"/>
          <w:b/>
          <w:color w:val="000000"/>
          <w:sz w:val="28"/>
          <w:szCs w:val="28"/>
          <w:lang w:val="en-US" w:eastAsia="zh-CN"/>
        </w:rPr>
        <w:t>10日内完成供货</w:t>
      </w:r>
      <w:r>
        <w:rPr>
          <w:rFonts w:hint="eastAsia" w:ascii="仿宋_GB2312" w:hAnsi="仿宋_GB2312" w:eastAsia="仿宋_GB2312" w:cs="仿宋_GB2312"/>
          <w:b/>
          <w:color w:val="000000"/>
          <w:sz w:val="28"/>
          <w:szCs w:val="28"/>
        </w:rPr>
        <w:t>。</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lang w:eastAsia="zh-CN"/>
        </w:rPr>
        <w:t>报名和</w:t>
      </w:r>
      <w:r>
        <w:rPr>
          <w:rFonts w:hint="eastAsia" w:ascii="仿宋_GB2312" w:eastAsia="仿宋_GB2312" w:cs="仿宋_GB2312"/>
          <w:b/>
          <w:bCs/>
          <w:color w:val="000000"/>
          <w:sz w:val="32"/>
          <w:szCs w:val="32"/>
        </w:rPr>
        <w:t>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hd w:val="clear" w:color="auto" w:fill="FFFFFF"/>
        <w:spacing w:line="560" w:lineRule="exact"/>
        <w:ind w:firstLine="560" w:firstLineChars="200"/>
        <w:rPr>
          <w:rFonts w:ascii="仿宋_GB2312" w:eastAsia="仿宋_GB2312"/>
          <w:sz w:val="28"/>
          <w:szCs w:val="28"/>
        </w:rPr>
      </w:pPr>
      <w:r>
        <w:rPr>
          <w:rFonts w:hint="eastAsia" w:ascii="仿宋_GB2312" w:eastAsia="仿宋_GB2312"/>
          <w:sz w:val="28"/>
          <w:szCs w:val="28"/>
        </w:rPr>
        <w:t>1.获取时间：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17</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19</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盐城市文港中路128号江苏省盐城技师学院研发中心大楼1001会议室。</w:t>
      </w:r>
    </w:p>
    <w:p>
      <w:pPr>
        <w:pStyle w:val="7"/>
        <w:spacing w:line="600" w:lineRule="exact"/>
        <w:ind w:firstLine="742"/>
        <w:rPr>
          <w:rFonts w:ascii="仿宋_GB2312"/>
          <w:sz w:val="28"/>
          <w:szCs w:val="28"/>
        </w:rPr>
      </w:pPr>
      <w:r>
        <w:rPr>
          <w:rFonts w:hint="eastAsia" w:ascii="仿宋_GB2312"/>
          <w:color w:val="000000"/>
          <w:szCs w:val="32"/>
        </w:rPr>
        <w:t>联系人：杨老师   0515—68661002/13770176940</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pacing w:line="440" w:lineRule="exact"/>
        <w:ind w:firstLine="649" w:firstLineChars="232"/>
        <w:jc w:val="left"/>
        <w:rPr>
          <w:rFonts w:ascii="仿宋_GB2312" w:eastAsia="仿宋_GB2312"/>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盐城市文港中路128号江苏省盐城技师学院研发中心大楼</w:t>
      </w:r>
      <w:r>
        <w:rPr>
          <w:rFonts w:hint="eastAsia" w:ascii="仿宋_GB2312" w:hAnsi="仿宋_GB2312" w:eastAsia="仿宋_GB2312" w:cs="仿宋_GB2312"/>
          <w:color w:val="000000"/>
          <w:sz w:val="28"/>
          <w:szCs w:val="28"/>
          <w:lang w:val="en-US" w:eastAsia="zh-CN"/>
        </w:rPr>
        <w:t xml:space="preserve">1109 </w:t>
      </w:r>
      <w:r>
        <w:rPr>
          <w:rFonts w:hint="eastAsia" w:ascii="仿宋_GB2312" w:hAnsi="仿宋_GB2312" w:eastAsia="仿宋_GB2312" w:cs="仿宋_GB2312"/>
          <w:color w:val="000000"/>
          <w:sz w:val="28"/>
          <w:szCs w:val="28"/>
        </w:rPr>
        <w:t>会议室。</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23</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16</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分前；</w:t>
      </w:r>
    </w:p>
    <w:p>
      <w:pPr>
        <w:spacing w:line="440" w:lineRule="exact"/>
        <w:ind w:firstLine="649" w:firstLineChars="232"/>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23</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16</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分前；（北京时间，上同）；</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2.投标保证金核验方式为：投标文件递交的同时，投标单位将本票或汇票直接提交给投标文件接收人员。未按上述要求提交保证金交款凭据的，投标文件将不予接收。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3.若中标，投标保证金在合同签订后无息退还；未中标单位于现场退还投标保证金（无息退还）。中标人于签订合同后1个工作日内向招标人指定账号缴纳履约保证金</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000元。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5.履约保证金的退还：按合同要求供货并验收合格后全额退还。</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hd w:val="clear" w:color="auto" w:fill="FFFFFF"/>
        <w:spacing w:line="560" w:lineRule="exact"/>
        <w:ind w:firstLine="560" w:firstLineChars="200"/>
        <w:rPr>
          <w:rFonts w:ascii="宋体" w:hAnsi="宋体"/>
          <w:b/>
          <w:bCs/>
          <w:sz w:val="28"/>
          <w:szCs w:val="28"/>
        </w:rPr>
      </w:pPr>
      <w:r>
        <w:rPr>
          <w:rFonts w:hint="eastAsia" w:ascii="仿宋_GB2312" w:hAnsi="仿宋_GB2312" w:eastAsia="仿宋_GB2312" w:cs="仿宋_GB2312"/>
          <w:sz w:val="28"/>
          <w:szCs w:val="28"/>
        </w:rPr>
        <w:t>6.履约保证金的退还：按合同要求</w:t>
      </w:r>
      <w:r>
        <w:rPr>
          <w:rFonts w:hint="eastAsia" w:ascii="仿宋_GB2312" w:hAnsi="仿宋_GB2312" w:eastAsia="仿宋_GB2312" w:cs="仿宋_GB2312"/>
          <w:sz w:val="28"/>
          <w:szCs w:val="28"/>
          <w:lang w:eastAsia="zh-CN"/>
        </w:rPr>
        <w:t>供货并验收</w:t>
      </w:r>
      <w:r>
        <w:rPr>
          <w:rFonts w:hint="eastAsia" w:ascii="仿宋_GB2312" w:hAnsi="仿宋_GB2312" w:eastAsia="仿宋_GB2312" w:cs="仿宋_GB2312"/>
          <w:sz w:val="28"/>
          <w:szCs w:val="28"/>
        </w:rPr>
        <w:t>合格后全额退还。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招标（采购）资料费</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00元，在购买招标文件时现场收取。投标人交纳的招标（采购）资料费，售后不退。</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w:t>
      </w:r>
    </w:p>
    <w:p>
      <w:pPr>
        <w:pStyle w:val="13"/>
        <w:ind w:firstLine="0" w:firstLineChars="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凭据，本次投标保证金以银行本票或汇票形式（提供银行本票或汇票，谢绝其他形式）缴纳，开标前带至开标现场（详见投标保证金条款的相关规定）。</w:t>
      </w:r>
    </w:p>
    <w:p>
      <w:pPr>
        <w:pStyle w:val="13"/>
        <w:ind w:left="0" w:leftChars="0" w:firstLine="0" w:firstLineChars="0"/>
        <w:rPr>
          <w:lang w:val="zh-TW"/>
        </w:rPr>
      </w:pPr>
      <w:bookmarkStart w:id="0" w:name="_GoBack"/>
      <w:bookmarkEnd w:id="0"/>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font-weight : 400">
    <w:altName w:val="仿宋_GB2312"/>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420793E"/>
    <w:rsid w:val="003032C3"/>
    <w:rsid w:val="0030389F"/>
    <w:rsid w:val="00320C8A"/>
    <w:rsid w:val="00350747"/>
    <w:rsid w:val="003D4E43"/>
    <w:rsid w:val="00404FEF"/>
    <w:rsid w:val="00442151"/>
    <w:rsid w:val="005119CD"/>
    <w:rsid w:val="00591F31"/>
    <w:rsid w:val="00710AAD"/>
    <w:rsid w:val="00785FD1"/>
    <w:rsid w:val="007F4426"/>
    <w:rsid w:val="0087175B"/>
    <w:rsid w:val="00881B2A"/>
    <w:rsid w:val="00895C9B"/>
    <w:rsid w:val="009C3BD8"/>
    <w:rsid w:val="00A827ED"/>
    <w:rsid w:val="00B24771"/>
    <w:rsid w:val="00B572A9"/>
    <w:rsid w:val="00BC168C"/>
    <w:rsid w:val="00CE7E94"/>
    <w:rsid w:val="00D83947"/>
    <w:rsid w:val="00D950B6"/>
    <w:rsid w:val="00EF3957"/>
    <w:rsid w:val="00F33FCF"/>
    <w:rsid w:val="00F36479"/>
    <w:rsid w:val="00F73FAE"/>
    <w:rsid w:val="00F8386D"/>
    <w:rsid w:val="00FB099F"/>
    <w:rsid w:val="00FF251E"/>
    <w:rsid w:val="01213557"/>
    <w:rsid w:val="012763F3"/>
    <w:rsid w:val="01754E63"/>
    <w:rsid w:val="01AB4B3C"/>
    <w:rsid w:val="01C51436"/>
    <w:rsid w:val="0209230C"/>
    <w:rsid w:val="020B7FE8"/>
    <w:rsid w:val="035418D9"/>
    <w:rsid w:val="03784BFE"/>
    <w:rsid w:val="0391134E"/>
    <w:rsid w:val="03DC0204"/>
    <w:rsid w:val="046443D0"/>
    <w:rsid w:val="04C11FC6"/>
    <w:rsid w:val="04CC52EE"/>
    <w:rsid w:val="04CD3D0D"/>
    <w:rsid w:val="051004D3"/>
    <w:rsid w:val="05272FAA"/>
    <w:rsid w:val="054C46B0"/>
    <w:rsid w:val="05A73324"/>
    <w:rsid w:val="05B15802"/>
    <w:rsid w:val="05C66E0A"/>
    <w:rsid w:val="065461C1"/>
    <w:rsid w:val="066151A4"/>
    <w:rsid w:val="06633BF8"/>
    <w:rsid w:val="067009E3"/>
    <w:rsid w:val="06B07EEC"/>
    <w:rsid w:val="06B24841"/>
    <w:rsid w:val="06B306D8"/>
    <w:rsid w:val="06BB5646"/>
    <w:rsid w:val="070058ED"/>
    <w:rsid w:val="070C0B87"/>
    <w:rsid w:val="072842ED"/>
    <w:rsid w:val="074F6420"/>
    <w:rsid w:val="076D3A7D"/>
    <w:rsid w:val="076E1C88"/>
    <w:rsid w:val="07976D19"/>
    <w:rsid w:val="07B10DAC"/>
    <w:rsid w:val="07DA3CFE"/>
    <w:rsid w:val="07E52222"/>
    <w:rsid w:val="08037EE2"/>
    <w:rsid w:val="08507F71"/>
    <w:rsid w:val="08517A6C"/>
    <w:rsid w:val="08554DC2"/>
    <w:rsid w:val="08A31E20"/>
    <w:rsid w:val="08BF7CF7"/>
    <w:rsid w:val="091A0CCA"/>
    <w:rsid w:val="09D3578B"/>
    <w:rsid w:val="09EC2687"/>
    <w:rsid w:val="0A2658EF"/>
    <w:rsid w:val="0A4179AC"/>
    <w:rsid w:val="0A9534B3"/>
    <w:rsid w:val="0AD50C2F"/>
    <w:rsid w:val="0AEB2D57"/>
    <w:rsid w:val="0AEC0EA0"/>
    <w:rsid w:val="0AFC45D4"/>
    <w:rsid w:val="0B1721B7"/>
    <w:rsid w:val="0B4523BA"/>
    <w:rsid w:val="0B62067E"/>
    <w:rsid w:val="0B626DEC"/>
    <w:rsid w:val="0B650416"/>
    <w:rsid w:val="0B9F6033"/>
    <w:rsid w:val="0BE87DE6"/>
    <w:rsid w:val="0BEE57EC"/>
    <w:rsid w:val="0C206B85"/>
    <w:rsid w:val="0C4D098C"/>
    <w:rsid w:val="0C4D4DBE"/>
    <w:rsid w:val="0C525545"/>
    <w:rsid w:val="0CAA0EEE"/>
    <w:rsid w:val="0CF92E1A"/>
    <w:rsid w:val="0D40776B"/>
    <w:rsid w:val="0D451709"/>
    <w:rsid w:val="0D8536A8"/>
    <w:rsid w:val="0DA5454E"/>
    <w:rsid w:val="0DC32138"/>
    <w:rsid w:val="0DD36B68"/>
    <w:rsid w:val="0E0971E5"/>
    <w:rsid w:val="0E1E525F"/>
    <w:rsid w:val="0E256362"/>
    <w:rsid w:val="0E2B5F03"/>
    <w:rsid w:val="0E6C4B17"/>
    <w:rsid w:val="0EB6316D"/>
    <w:rsid w:val="0EED3DB3"/>
    <w:rsid w:val="0F025FBB"/>
    <w:rsid w:val="0F216F3E"/>
    <w:rsid w:val="0F3957F4"/>
    <w:rsid w:val="0F601CA1"/>
    <w:rsid w:val="0F746EF2"/>
    <w:rsid w:val="0F78360A"/>
    <w:rsid w:val="0F8F4E87"/>
    <w:rsid w:val="0F9451C4"/>
    <w:rsid w:val="0FA34244"/>
    <w:rsid w:val="0FAD3B69"/>
    <w:rsid w:val="0FC161BE"/>
    <w:rsid w:val="0FED1AAA"/>
    <w:rsid w:val="0FFC59E0"/>
    <w:rsid w:val="100A600B"/>
    <w:rsid w:val="10486C99"/>
    <w:rsid w:val="10702A3C"/>
    <w:rsid w:val="10A02C4D"/>
    <w:rsid w:val="10AA1414"/>
    <w:rsid w:val="10D7497B"/>
    <w:rsid w:val="10D84E4E"/>
    <w:rsid w:val="10E40D30"/>
    <w:rsid w:val="10FF6F1C"/>
    <w:rsid w:val="110F5FEB"/>
    <w:rsid w:val="11442DBE"/>
    <w:rsid w:val="119F60B5"/>
    <w:rsid w:val="120D5A10"/>
    <w:rsid w:val="121D42C8"/>
    <w:rsid w:val="12587BBB"/>
    <w:rsid w:val="125D3852"/>
    <w:rsid w:val="126B6779"/>
    <w:rsid w:val="12726C10"/>
    <w:rsid w:val="128C3AF6"/>
    <w:rsid w:val="12C23695"/>
    <w:rsid w:val="12D90DBC"/>
    <w:rsid w:val="131953C2"/>
    <w:rsid w:val="13626C51"/>
    <w:rsid w:val="1387289B"/>
    <w:rsid w:val="138A3CBD"/>
    <w:rsid w:val="13BF20EE"/>
    <w:rsid w:val="13EE1CA6"/>
    <w:rsid w:val="141A7C53"/>
    <w:rsid w:val="141E3E24"/>
    <w:rsid w:val="14A1058A"/>
    <w:rsid w:val="14EF4C8B"/>
    <w:rsid w:val="155F42E2"/>
    <w:rsid w:val="158925BF"/>
    <w:rsid w:val="15D211C0"/>
    <w:rsid w:val="15DF3C87"/>
    <w:rsid w:val="15DF6418"/>
    <w:rsid w:val="161A2398"/>
    <w:rsid w:val="16502FCA"/>
    <w:rsid w:val="165119DF"/>
    <w:rsid w:val="16515249"/>
    <w:rsid w:val="165C6CAD"/>
    <w:rsid w:val="16790660"/>
    <w:rsid w:val="16813B66"/>
    <w:rsid w:val="16D60D5C"/>
    <w:rsid w:val="16FA1EEA"/>
    <w:rsid w:val="17182A00"/>
    <w:rsid w:val="176171B3"/>
    <w:rsid w:val="178F4D9A"/>
    <w:rsid w:val="17A13251"/>
    <w:rsid w:val="180B2A5B"/>
    <w:rsid w:val="18352C7A"/>
    <w:rsid w:val="18707FE4"/>
    <w:rsid w:val="188A563A"/>
    <w:rsid w:val="18FB37F0"/>
    <w:rsid w:val="193534EA"/>
    <w:rsid w:val="1949555F"/>
    <w:rsid w:val="19674C8C"/>
    <w:rsid w:val="19D42B02"/>
    <w:rsid w:val="1A0033A8"/>
    <w:rsid w:val="1A2E19C8"/>
    <w:rsid w:val="1A5D44F7"/>
    <w:rsid w:val="1A697E5F"/>
    <w:rsid w:val="1A7C6625"/>
    <w:rsid w:val="1AA81E83"/>
    <w:rsid w:val="1ACF0032"/>
    <w:rsid w:val="1ADA2B3C"/>
    <w:rsid w:val="1AE7007E"/>
    <w:rsid w:val="1B1D036B"/>
    <w:rsid w:val="1B251C6A"/>
    <w:rsid w:val="1B2E57EC"/>
    <w:rsid w:val="1B370055"/>
    <w:rsid w:val="1B3F74FB"/>
    <w:rsid w:val="1B4D7F3F"/>
    <w:rsid w:val="1B4E02E5"/>
    <w:rsid w:val="1BC6556D"/>
    <w:rsid w:val="1BE31FE3"/>
    <w:rsid w:val="1C172E5F"/>
    <w:rsid w:val="1C1B40C1"/>
    <w:rsid w:val="1C272AEC"/>
    <w:rsid w:val="1C2C727F"/>
    <w:rsid w:val="1C353DC6"/>
    <w:rsid w:val="1C3B6ECC"/>
    <w:rsid w:val="1C6537A6"/>
    <w:rsid w:val="1C664B1D"/>
    <w:rsid w:val="1C7A04F5"/>
    <w:rsid w:val="1C9107B2"/>
    <w:rsid w:val="1C954D91"/>
    <w:rsid w:val="1CB94466"/>
    <w:rsid w:val="1CC5403D"/>
    <w:rsid w:val="1CD0028B"/>
    <w:rsid w:val="1CDA3C7F"/>
    <w:rsid w:val="1CEF28AC"/>
    <w:rsid w:val="1D027E40"/>
    <w:rsid w:val="1D5F7B0B"/>
    <w:rsid w:val="1D681CE1"/>
    <w:rsid w:val="1DD46062"/>
    <w:rsid w:val="1E1823DE"/>
    <w:rsid w:val="1E285373"/>
    <w:rsid w:val="1E4C0DD8"/>
    <w:rsid w:val="1E9F10E2"/>
    <w:rsid w:val="1EB96B5B"/>
    <w:rsid w:val="1F3417C9"/>
    <w:rsid w:val="1F4C0ECE"/>
    <w:rsid w:val="1F921D1B"/>
    <w:rsid w:val="1FAA23C7"/>
    <w:rsid w:val="1FAC5CC2"/>
    <w:rsid w:val="1FE5656D"/>
    <w:rsid w:val="200349CA"/>
    <w:rsid w:val="201151C4"/>
    <w:rsid w:val="201F1628"/>
    <w:rsid w:val="20540E4E"/>
    <w:rsid w:val="20886574"/>
    <w:rsid w:val="20896680"/>
    <w:rsid w:val="20AE6EE3"/>
    <w:rsid w:val="20C33B6A"/>
    <w:rsid w:val="20F11ECD"/>
    <w:rsid w:val="20FD07C0"/>
    <w:rsid w:val="2156212F"/>
    <w:rsid w:val="21645F4F"/>
    <w:rsid w:val="216E48EC"/>
    <w:rsid w:val="21AB5DEA"/>
    <w:rsid w:val="21CF6503"/>
    <w:rsid w:val="21D15555"/>
    <w:rsid w:val="21F3410D"/>
    <w:rsid w:val="21F46F58"/>
    <w:rsid w:val="22291D25"/>
    <w:rsid w:val="22DB3FED"/>
    <w:rsid w:val="235F4CA5"/>
    <w:rsid w:val="2420793E"/>
    <w:rsid w:val="242F2957"/>
    <w:rsid w:val="24320E9D"/>
    <w:rsid w:val="24754813"/>
    <w:rsid w:val="24776CCE"/>
    <w:rsid w:val="2480139C"/>
    <w:rsid w:val="24AB21CC"/>
    <w:rsid w:val="24B37275"/>
    <w:rsid w:val="24C34269"/>
    <w:rsid w:val="24CA7BB3"/>
    <w:rsid w:val="24D36639"/>
    <w:rsid w:val="24E15C47"/>
    <w:rsid w:val="2506770C"/>
    <w:rsid w:val="25241D99"/>
    <w:rsid w:val="254D0978"/>
    <w:rsid w:val="256E76E9"/>
    <w:rsid w:val="25C27D0F"/>
    <w:rsid w:val="26307FDD"/>
    <w:rsid w:val="263372DB"/>
    <w:rsid w:val="26450D03"/>
    <w:rsid w:val="268D578A"/>
    <w:rsid w:val="26957132"/>
    <w:rsid w:val="26B462D2"/>
    <w:rsid w:val="26EA3339"/>
    <w:rsid w:val="270C5466"/>
    <w:rsid w:val="27164E89"/>
    <w:rsid w:val="27237BF9"/>
    <w:rsid w:val="272D5323"/>
    <w:rsid w:val="27B73D55"/>
    <w:rsid w:val="28073AD2"/>
    <w:rsid w:val="28245297"/>
    <w:rsid w:val="289F324F"/>
    <w:rsid w:val="28B80A13"/>
    <w:rsid w:val="28BA3435"/>
    <w:rsid w:val="28C67687"/>
    <w:rsid w:val="28DF42A5"/>
    <w:rsid w:val="29237E44"/>
    <w:rsid w:val="296E1849"/>
    <w:rsid w:val="29720D27"/>
    <w:rsid w:val="2A4C266E"/>
    <w:rsid w:val="2A625E17"/>
    <w:rsid w:val="2A756C29"/>
    <w:rsid w:val="2AA75F42"/>
    <w:rsid w:val="2AD11208"/>
    <w:rsid w:val="2B142AF9"/>
    <w:rsid w:val="2B284638"/>
    <w:rsid w:val="2B731468"/>
    <w:rsid w:val="2B782D10"/>
    <w:rsid w:val="2BA12CCB"/>
    <w:rsid w:val="2BAA2A9A"/>
    <w:rsid w:val="2BC36FF1"/>
    <w:rsid w:val="2BF253AE"/>
    <w:rsid w:val="2C225919"/>
    <w:rsid w:val="2C393D7D"/>
    <w:rsid w:val="2C430B45"/>
    <w:rsid w:val="2C817AB3"/>
    <w:rsid w:val="2C8B2168"/>
    <w:rsid w:val="2CB95CF8"/>
    <w:rsid w:val="2D327DD8"/>
    <w:rsid w:val="2D3A397F"/>
    <w:rsid w:val="2D9906D0"/>
    <w:rsid w:val="2E1D76FC"/>
    <w:rsid w:val="2E397856"/>
    <w:rsid w:val="2E970D30"/>
    <w:rsid w:val="2F0A4CB7"/>
    <w:rsid w:val="2F473DCF"/>
    <w:rsid w:val="2F5C448C"/>
    <w:rsid w:val="2F8F35AF"/>
    <w:rsid w:val="2FC02E6F"/>
    <w:rsid w:val="2FC87B25"/>
    <w:rsid w:val="300632AC"/>
    <w:rsid w:val="306E6642"/>
    <w:rsid w:val="30B17A2A"/>
    <w:rsid w:val="3152597F"/>
    <w:rsid w:val="31603293"/>
    <w:rsid w:val="316858B7"/>
    <w:rsid w:val="31721C46"/>
    <w:rsid w:val="31950CDB"/>
    <w:rsid w:val="31D6351B"/>
    <w:rsid w:val="31EC1EAB"/>
    <w:rsid w:val="31F604A7"/>
    <w:rsid w:val="321F65B4"/>
    <w:rsid w:val="325966DD"/>
    <w:rsid w:val="32811102"/>
    <w:rsid w:val="32AC4A97"/>
    <w:rsid w:val="32AE7E64"/>
    <w:rsid w:val="32D30C1D"/>
    <w:rsid w:val="33297F74"/>
    <w:rsid w:val="33405D76"/>
    <w:rsid w:val="334912C7"/>
    <w:rsid w:val="33497F9F"/>
    <w:rsid w:val="33857F38"/>
    <w:rsid w:val="339F3E85"/>
    <w:rsid w:val="33AE7E7D"/>
    <w:rsid w:val="33B14D02"/>
    <w:rsid w:val="33F76CC3"/>
    <w:rsid w:val="340D52DD"/>
    <w:rsid w:val="34A11B56"/>
    <w:rsid w:val="34A75291"/>
    <w:rsid w:val="34AD3609"/>
    <w:rsid w:val="34CC6B8D"/>
    <w:rsid w:val="34D87B20"/>
    <w:rsid w:val="34E9605F"/>
    <w:rsid w:val="34F57470"/>
    <w:rsid w:val="35136474"/>
    <w:rsid w:val="35365D30"/>
    <w:rsid w:val="35595B08"/>
    <w:rsid w:val="35754ABE"/>
    <w:rsid w:val="35C07D3C"/>
    <w:rsid w:val="35DB7A64"/>
    <w:rsid w:val="35EE6138"/>
    <w:rsid w:val="35FD18B8"/>
    <w:rsid w:val="3608446C"/>
    <w:rsid w:val="36140B55"/>
    <w:rsid w:val="363E2126"/>
    <w:rsid w:val="36781BE1"/>
    <w:rsid w:val="36CD5879"/>
    <w:rsid w:val="370C49F9"/>
    <w:rsid w:val="37314630"/>
    <w:rsid w:val="3739690C"/>
    <w:rsid w:val="377B7619"/>
    <w:rsid w:val="377F1BD0"/>
    <w:rsid w:val="37A23E34"/>
    <w:rsid w:val="37D91531"/>
    <w:rsid w:val="381A2603"/>
    <w:rsid w:val="384C3975"/>
    <w:rsid w:val="388E3762"/>
    <w:rsid w:val="38BB2241"/>
    <w:rsid w:val="38E14EED"/>
    <w:rsid w:val="38FF2799"/>
    <w:rsid w:val="392113B6"/>
    <w:rsid w:val="393E191C"/>
    <w:rsid w:val="394F79A9"/>
    <w:rsid w:val="39F917AC"/>
    <w:rsid w:val="3A114339"/>
    <w:rsid w:val="3A6B2A44"/>
    <w:rsid w:val="3A9A2A3C"/>
    <w:rsid w:val="3AE0798C"/>
    <w:rsid w:val="3B166BBD"/>
    <w:rsid w:val="3B277885"/>
    <w:rsid w:val="3B6162F8"/>
    <w:rsid w:val="3B685C14"/>
    <w:rsid w:val="3B721FC2"/>
    <w:rsid w:val="3B7D1642"/>
    <w:rsid w:val="3B7E5763"/>
    <w:rsid w:val="3B810F9D"/>
    <w:rsid w:val="3B855F46"/>
    <w:rsid w:val="3B9932EB"/>
    <w:rsid w:val="3B9F2E13"/>
    <w:rsid w:val="3C5373E0"/>
    <w:rsid w:val="3C7E0DE7"/>
    <w:rsid w:val="3CAF118B"/>
    <w:rsid w:val="3CD711B4"/>
    <w:rsid w:val="3CED2288"/>
    <w:rsid w:val="3D072121"/>
    <w:rsid w:val="3D186E2F"/>
    <w:rsid w:val="3D354F1E"/>
    <w:rsid w:val="3D7F4F0B"/>
    <w:rsid w:val="3D7F6D93"/>
    <w:rsid w:val="3DD95AFA"/>
    <w:rsid w:val="3DE86719"/>
    <w:rsid w:val="3DEA2D48"/>
    <w:rsid w:val="3DEA7544"/>
    <w:rsid w:val="3DFF1EF8"/>
    <w:rsid w:val="3E36584F"/>
    <w:rsid w:val="3E8B17E0"/>
    <w:rsid w:val="3EB31F65"/>
    <w:rsid w:val="3EF01CBA"/>
    <w:rsid w:val="3F1818E5"/>
    <w:rsid w:val="3F3719D8"/>
    <w:rsid w:val="3F3F7EAB"/>
    <w:rsid w:val="3F5F67F7"/>
    <w:rsid w:val="3F787D93"/>
    <w:rsid w:val="3F8B1D10"/>
    <w:rsid w:val="40F90C7F"/>
    <w:rsid w:val="411357D5"/>
    <w:rsid w:val="42536595"/>
    <w:rsid w:val="42A2251F"/>
    <w:rsid w:val="42AA1947"/>
    <w:rsid w:val="42B82C2B"/>
    <w:rsid w:val="42C56DBF"/>
    <w:rsid w:val="42D252ED"/>
    <w:rsid w:val="42DC3ED2"/>
    <w:rsid w:val="42EF2015"/>
    <w:rsid w:val="42FE74B6"/>
    <w:rsid w:val="43181805"/>
    <w:rsid w:val="431A1150"/>
    <w:rsid w:val="43621F43"/>
    <w:rsid w:val="437652BA"/>
    <w:rsid w:val="439A06F0"/>
    <w:rsid w:val="43BE48F6"/>
    <w:rsid w:val="43BF3924"/>
    <w:rsid w:val="43E96405"/>
    <w:rsid w:val="440E72C3"/>
    <w:rsid w:val="443B2D47"/>
    <w:rsid w:val="445F5174"/>
    <w:rsid w:val="447F785B"/>
    <w:rsid w:val="4484168F"/>
    <w:rsid w:val="44A658FB"/>
    <w:rsid w:val="44B03BC9"/>
    <w:rsid w:val="44EE3341"/>
    <w:rsid w:val="44FB5CD6"/>
    <w:rsid w:val="4579665C"/>
    <w:rsid w:val="45BF6E87"/>
    <w:rsid w:val="45C07584"/>
    <w:rsid w:val="45C83625"/>
    <w:rsid w:val="45F85DE8"/>
    <w:rsid w:val="45FF303A"/>
    <w:rsid w:val="464D6DDD"/>
    <w:rsid w:val="4664559D"/>
    <w:rsid w:val="468D0324"/>
    <w:rsid w:val="46F71A9A"/>
    <w:rsid w:val="473A4A33"/>
    <w:rsid w:val="474D0A7A"/>
    <w:rsid w:val="475E2D19"/>
    <w:rsid w:val="47846BB1"/>
    <w:rsid w:val="47AC3932"/>
    <w:rsid w:val="47BD382B"/>
    <w:rsid w:val="47D81741"/>
    <w:rsid w:val="47EB0CDC"/>
    <w:rsid w:val="47F62EF6"/>
    <w:rsid w:val="47FC51D8"/>
    <w:rsid w:val="482C68E1"/>
    <w:rsid w:val="48630F59"/>
    <w:rsid w:val="487613FD"/>
    <w:rsid w:val="4890546C"/>
    <w:rsid w:val="49085DE2"/>
    <w:rsid w:val="492345E4"/>
    <w:rsid w:val="492A7720"/>
    <w:rsid w:val="49D77AD3"/>
    <w:rsid w:val="49F37126"/>
    <w:rsid w:val="49FF1146"/>
    <w:rsid w:val="4A0952BB"/>
    <w:rsid w:val="4A7F40CE"/>
    <w:rsid w:val="4AEC3932"/>
    <w:rsid w:val="4B183B51"/>
    <w:rsid w:val="4B276F49"/>
    <w:rsid w:val="4B682294"/>
    <w:rsid w:val="4B7E02F8"/>
    <w:rsid w:val="4B8A7D02"/>
    <w:rsid w:val="4BA53213"/>
    <w:rsid w:val="4BFD7E37"/>
    <w:rsid w:val="4C66481B"/>
    <w:rsid w:val="4C702BBA"/>
    <w:rsid w:val="4C805C6D"/>
    <w:rsid w:val="4C816154"/>
    <w:rsid w:val="4CD2760A"/>
    <w:rsid w:val="4CE85361"/>
    <w:rsid w:val="4CFB3FC6"/>
    <w:rsid w:val="4D4F4AA1"/>
    <w:rsid w:val="4D752DFF"/>
    <w:rsid w:val="4D757F04"/>
    <w:rsid w:val="4DB4768A"/>
    <w:rsid w:val="4DE62960"/>
    <w:rsid w:val="4E100D3C"/>
    <w:rsid w:val="4E1717CD"/>
    <w:rsid w:val="4E555139"/>
    <w:rsid w:val="4E6526E6"/>
    <w:rsid w:val="4E6D5F24"/>
    <w:rsid w:val="4E7E4CF2"/>
    <w:rsid w:val="4E93279E"/>
    <w:rsid w:val="4F2E6D0D"/>
    <w:rsid w:val="4F3C0164"/>
    <w:rsid w:val="4F74653C"/>
    <w:rsid w:val="4F9C0D17"/>
    <w:rsid w:val="4FC4470D"/>
    <w:rsid w:val="4FDD24ED"/>
    <w:rsid w:val="4FDD3E90"/>
    <w:rsid w:val="4FE66766"/>
    <w:rsid w:val="4FEF45A1"/>
    <w:rsid w:val="500E415F"/>
    <w:rsid w:val="5037777B"/>
    <w:rsid w:val="506F17F4"/>
    <w:rsid w:val="50785996"/>
    <w:rsid w:val="508E15EE"/>
    <w:rsid w:val="50AA5C04"/>
    <w:rsid w:val="50F20854"/>
    <w:rsid w:val="51361776"/>
    <w:rsid w:val="51524D6B"/>
    <w:rsid w:val="51600B1E"/>
    <w:rsid w:val="51B40016"/>
    <w:rsid w:val="51C27A83"/>
    <w:rsid w:val="51C71E63"/>
    <w:rsid w:val="521C44D2"/>
    <w:rsid w:val="52AC24D9"/>
    <w:rsid w:val="538A5890"/>
    <w:rsid w:val="53B27B60"/>
    <w:rsid w:val="53B75D03"/>
    <w:rsid w:val="53B77680"/>
    <w:rsid w:val="53E36CF0"/>
    <w:rsid w:val="542506A6"/>
    <w:rsid w:val="54797ED7"/>
    <w:rsid w:val="549417C5"/>
    <w:rsid w:val="54A95133"/>
    <w:rsid w:val="54D00DD3"/>
    <w:rsid w:val="551132B2"/>
    <w:rsid w:val="5549548F"/>
    <w:rsid w:val="557C0A69"/>
    <w:rsid w:val="55887E86"/>
    <w:rsid w:val="55891293"/>
    <w:rsid w:val="558D30F0"/>
    <w:rsid w:val="55D022A9"/>
    <w:rsid w:val="55EC46F1"/>
    <w:rsid w:val="566768F0"/>
    <w:rsid w:val="5676087B"/>
    <w:rsid w:val="56AF68B3"/>
    <w:rsid w:val="56C10498"/>
    <w:rsid w:val="56D25390"/>
    <w:rsid w:val="56D652C3"/>
    <w:rsid w:val="56E91712"/>
    <w:rsid w:val="57160486"/>
    <w:rsid w:val="57355E7D"/>
    <w:rsid w:val="573D0770"/>
    <w:rsid w:val="5756176F"/>
    <w:rsid w:val="57601DAE"/>
    <w:rsid w:val="576905EF"/>
    <w:rsid w:val="579D0C33"/>
    <w:rsid w:val="57FB1974"/>
    <w:rsid w:val="57FD6362"/>
    <w:rsid w:val="581574A4"/>
    <w:rsid w:val="581B4472"/>
    <w:rsid w:val="583C2FDE"/>
    <w:rsid w:val="58E72BF9"/>
    <w:rsid w:val="594F6C2F"/>
    <w:rsid w:val="595A4C77"/>
    <w:rsid w:val="596A66E7"/>
    <w:rsid w:val="59A01DC1"/>
    <w:rsid w:val="59B02EF9"/>
    <w:rsid w:val="59D46C1D"/>
    <w:rsid w:val="59D91CF2"/>
    <w:rsid w:val="59E14449"/>
    <w:rsid w:val="5A0C0BD4"/>
    <w:rsid w:val="5A5B4BA8"/>
    <w:rsid w:val="5A5F7BFB"/>
    <w:rsid w:val="5A904C66"/>
    <w:rsid w:val="5A920207"/>
    <w:rsid w:val="5ACE7D24"/>
    <w:rsid w:val="5B153346"/>
    <w:rsid w:val="5B4935A4"/>
    <w:rsid w:val="5B4C790C"/>
    <w:rsid w:val="5BAB7008"/>
    <w:rsid w:val="5BB4099C"/>
    <w:rsid w:val="5BD1500D"/>
    <w:rsid w:val="5BDB6F0F"/>
    <w:rsid w:val="5C114079"/>
    <w:rsid w:val="5C6B2001"/>
    <w:rsid w:val="5CB155B2"/>
    <w:rsid w:val="5CD37D3F"/>
    <w:rsid w:val="5CF86948"/>
    <w:rsid w:val="5DAC6E2E"/>
    <w:rsid w:val="5DC37F92"/>
    <w:rsid w:val="5DD97CFF"/>
    <w:rsid w:val="5E3B214C"/>
    <w:rsid w:val="5E5516EB"/>
    <w:rsid w:val="5E826299"/>
    <w:rsid w:val="5EB24D06"/>
    <w:rsid w:val="5EBE5924"/>
    <w:rsid w:val="5EC00FDE"/>
    <w:rsid w:val="5EEC725C"/>
    <w:rsid w:val="5F0D13E6"/>
    <w:rsid w:val="5F5F5A27"/>
    <w:rsid w:val="5F9F4CB2"/>
    <w:rsid w:val="5FBC0DED"/>
    <w:rsid w:val="5FDC2801"/>
    <w:rsid w:val="6061238B"/>
    <w:rsid w:val="6062651D"/>
    <w:rsid w:val="606E146E"/>
    <w:rsid w:val="608E76D1"/>
    <w:rsid w:val="60DA374D"/>
    <w:rsid w:val="60F56641"/>
    <w:rsid w:val="610A1218"/>
    <w:rsid w:val="6126107F"/>
    <w:rsid w:val="61876294"/>
    <w:rsid w:val="61CE2ABF"/>
    <w:rsid w:val="624F051E"/>
    <w:rsid w:val="625A0DB8"/>
    <w:rsid w:val="627F348D"/>
    <w:rsid w:val="62D500B6"/>
    <w:rsid w:val="62D82626"/>
    <w:rsid w:val="631C2993"/>
    <w:rsid w:val="631E1940"/>
    <w:rsid w:val="63413B72"/>
    <w:rsid w:val="63562062"/>
    <w:rsid w:val="6365091F"/>
    <w:rsid w:val="63D13E08"/>
    <w:rsid w:val="63ED762C"/>
    <w:rsid w:val="64140E68"/>
    <w:rsid w:val="643B5DC5"/>
    <w:rsid w:val="64464B7A"/>
    <w:rsid w:val="644A418E"/>
    <w:rsid w:val="64544120"/>
    <w:rsid w:val="64571B9A"/>
    <w:rsid w:val="646F7733"/>
    <w:rsid w:val="64947EEE"/>
    <w:rsid w:val="64A5749D"/>
    <w:rsid w:val="64A8075D"/>
    <w:rsid w:val="64AC71C7"/>
    <w:rsid w:val="64E92558"/>
    <w:rsid w:val="65307F28"/>
    <w:rsid w:val="654E6347"/>
    <w:rsid w:val="65655109"/>
    <w:rsid w:val="65683A22"/>
    <w:rsid w:val="657813C0"/>
    <w:rsid w:val="657E107F"/>
    <w:rsid w:val="659C5A52"/>
    <w:rsid w:val="65BC07A1"/>
    <w:rsid w:val="65C0786F"/>
    <w:rsid w:val="65D95392"/>
    <w:rsid w:val="65F61953"/>
    <w:rsid w:val="66044B74"/>
    <w:rsid w:val="660A1BFF"/>
    <w:rsid w:val="660D6065"/>
    <w:rsid w:val="66D01FBB"/>
    <w:rsid w:val="66EE21B8"/>
    <w:rsid w:val="670D7877"/>
    <w:rsid w:val="67580329"/>
    <w:rsid w:val="676B51FA"/>
    <w:rsid w:val="67804428"/>
    <w:rsid w:val="67831A61"/>
    <w:rsid w:val="67E41ECA"/>
    <w:rsid w:val="68224E50"/>
    <w:rsid w:val="68901326"/>
    <w:rsid w:val="68A00632"/>
    <w:rsid w:val="68B7198B"/>
    <w:rsid w:val="68E72B1B"/>
    <w:rsid w:val="68ED4DD5"/>
    <w:rsid w:val="68F50D74"/>
    <w:rsid w:val="68FB3B7E"/>
    <w:rsid w:val="690762AF"/>
    <w:rsid w:val="692F69BC"/>
    <w:rsid w:val="69532032"/>
    <w:rsid w:val="696C3D8B"/>
    <w:rsid w:val="6981506D"/>
    <w:rsid w:val="69886988"/>
    <w:rsid w:val="6996428A"/>
    <w:rsid w:val="69A0054D"/>
    <w:rsid w:val="69D05B72"/>
    <w:rsid w:val="6A2121F5"/>
    <w:rsid w:val="6A345A94"/>
    <w:rsid w:val="6A735F5E"/>
    <w:rsid w:val="6A765692"/>
    <w:rsid w:val="6A77390C"/>
    <w:rsid w:val="6A8029CC"/>
    <w:rsid w:val="6AA257A1"/>
    <w:rsid w:val="6AF3713C"/>
    <w:rsid w:val="6B376C34"/>
    <w:rsid w:val="6B5914FD"/>
    <w:rsid w:val="6B7A0BFE"/>
    <w:rsid w:val="6BA87F93"/>
    <w:rsid w:val="6BD84A7F"/>
    <w:rsid w:val="6BDB6CC5"/>
    <w:rsid w:val="6C317CED"/>
    <w:rsid w:val="6C3549A4"/>
    <w:rsid w:val="6CC02D04"/>
    <w:rsid w:val="6CC46F01"/>
    <w:rsid w:val="6CF07891"/>
    <w:rsid w:val="6CF740AF"/>
    <w:rsid w:val="6D256A74"/>
    <w:rsid w:val="6D272450"/>
    <w:rsid w:val="6D390973"/>
    <w:rsid w:val="6D65169A"/>
    <w:rsid w:val="6D6D5F4E"/>
    <w:rsid w:val="6DB854D6"/>
    <w:rsid w:val="6E2C06AD"/>
    <w:rsid w:val="6E4008B0"/>
    <w:rsid w:val="6E4D2CEF"/>
    <w:rsid w:val="6E6F6D55"/>
    <w:rsid w:val="6EC543D2"/>
    <w:rsid w:val="6ED64406"/>
    <w:rsid w:val="6F495D69"/>
    <w:rsid w:val="6F734208"/>
    <w:rsid w:val="6F93454C"/>
    <w:rsid w:val="6FC07A69"/>
    <w:rsid w:val="6FC17707"/>
    <w:rsid w:val="704D133D"/>
    <w:rsid w:val="706816A1"/>
    <w:rsid w:val="70C16F7A"/>
    <w:rsid w:val="710F6F32"/>
    <w:rsid w:val="71512C49"/>
    <w:rsid w:val="71661C44"/>
    <w:rsid w:val="71733A23"/>
    <w:rsid w:val="717E223A"/>
    <w:rsid w:val="719C622D"/>
    <w:rsid w:val="71B1120F"/>
    <w:rsid w:val="71B175F3"/>
    <w:rsid w:val="71E2287C"/>
    <w:rsid w:val="71EE3A4C"/>
    <w:rsid w:val="71F54C9C"/>
    <w:rsid w:val="72336D94"/>
    <w:rsid w:val="72561178"/>
    <w:rsid w:val="7265754A"/>
    <w:rsid w:val="726C646F"/>
    <w:rsid w:val="728A63D1"/>
    <w:rsid w:val="729131B3"/>
    <w:rsid w:val="72A2358B"/>
    <w:rsid w:val="72D67B06"/>
    <w:rsid w:val="72FA624C"/>
    <w:rsid w:val="72FF6318"/>
    <w:rsid w:val="733259D3"/>
    <w:rsid w:val="736C170B"/>
    <w:rsid w:val="739D7F65"/>
    <w:rsid w:val="73BA6DE5"/>
    <w:rsid w:val="73CB58A7"/>
    <w:rsid w:val="73E56406"/>
    <w:rsid w:val="74055B10"/>
    <w:rsid w:val="74264B95"/>
    <w:rsid w:val="74274932"/>
    <w:rsid w:val="743025E1"/>
    <w:rsid w:val="74553B4B"/>
    <w:rsid w:val="745E6993"/>
    <w:rsid w:val="74725AF1"/>
    <w:rsid w:val="74745B1F"/>
    <w:rsid w:val="749D661B"/>
    <w:rsid w:val="74FD02B3"/>
    <w:rsid w:val="75295C38"/>
    <w:rsid w:val="755331EC"/>
    <w:rsid w:val="75707649"/>
    <w:rsid w:val="75C54221"/>
    <w:rsid w:val="75CD3DB4"/>
    <w:rsid w:val="75F34E22"/>
    <w:rsid w:val="769876C2"/>
    <w:rsid w:val="76C667A4"/>
    <w:rsid w:val="77090A3A"/>
    <w:rsid w:val="77365109"/>
    <w:rsid w:val="773C77FD"/>
    <w:rsid w:val="775D76DD"/>
    <w:rsid w:val="777827AE"/>
    <w:rsid w:val="777D7660"/>
    <w:rsid w:val="77801522"/>
    <w:rsid w:val="77A2667C"/>
    <w:rsid w:val="77F179AF"/>
    <w:rsid w:val="785C5927"/>
    <w:rsid w:val="78827DDA"/>
    <w:rsid w:val="788718C6"/>
    <w:rsid w:val="78BD3664"/>
    <w:rsid w:val="78BE0408"/>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E3339F"/>
    <w:rsid w:val="7AEF5512"/>
    <w:rsid w:val="7B041455"/>
    <w:rsid w:val="7B3C50D0"/>
    <w:rsid w:val="7B722606"/>
    <w:rsid w:val="7B99290A"/>
    <w:rsid w:val="7B9A2382"/>
    <w:rsid w:val="7BD61B09"/>
    <w:rsid w:val="7C2F1127"/>
    <w:rsid w:val="7C335EBE"/>
    <w:rsid w:val="7D15098A"/>
    <w:rsid w:val="7D263586"/>
    <w:rsid w:val="7D2C488D"/>
    <w:rsid w:val="7D4935BC"/>
    <w:rsid w:val="7D783C20"/>
    <w:rsid w:val="7DAA2184"/>
    <w:rsid w:val="7DBF221F"/>
    <w:rsid w:val="7DCD56EF"/>
    <w:rsid w:val="7E0562F6"/>
    <w:rsid w:val="7E2E71D7"/>
    <w:rsid w:val="7E490669"/>
    <w:rsid w:val="7E5B7F26"/>
    <w:rsid w:val="7E944FD9"/>
    <w:rsid w:val="7EA45AFC"/>
    <w:rsid w:val="7EAD75B3"/>
    <w:rsid w:val="7ED3094B"/>
    <w:rsid w:val="7ED52362"/>
    <w:rsid w:val="7EDE70F9"/>
    <w:rsid w:val="7EE215A1"/>
    <w:rsid w:val="7F044388"/>
    <w:rsid w:val="7F060D0E"/>
    <w:rsid w:val="7F1E1B03"/>
    <w:rsid w:val="7F5A4784"/>
    <w:rsid w:val="7F66211F"/>
    <w:rsid w:val="7FDD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360" w:lineRule="auto"/>
      <w:jc w:val="center"/>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6"/>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qFormat/>
    <w:uiPriority w:val="0"/>
    <w:pPr>
      <w:ind w:firstLine="420"/>
    </w:pPr>
    <w:rPr>
      <w:szCs w:val="21"/>
    </w:rPr>
  </w:style>
  <w:style w:type="paragraph" w:styleId="7">
    <w:name w:val="Body Text Indent"/>
    <w:basedOn w:val="1"/>
    <w:qFormat/>
    <w:uiPriority w:val="0"/>
    <w:pPr>
      <w:ind w:left="-105" w:firstLine="232" w:firstLineChars="232"/>
    </w:pPr>
    <w:rPr>
      <w:rFonts w:eastAsia="仿宋_GB2312"/>
      <w:sz w:val="32"/>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Indent 3"/>
    <w:basedOn w:val="1"/>
    <w:qFormat/>
    <w:uiPriority w:val="0"/>
    <w:pPr>
      <w:spacing w:after="120"/>
      <w:ind w:left="200" w:leftChars="200"/>
    </w:pPr>
    <w:rPr>
      <w:sz w:val="16"/>
      <w:szCs w:val="16"/>
    </w:rPr>
  </w:style>
  <w:style w:type="paragraph" w:styleId="12">
    <w:name w:val="Normal (Web)"/>
    <w:basedOn w:val="1"/>
    <w:unhideWhenUsed/>
    <w:uiPriority w:val="0"/>
    <w:pPr>
      <w:spacing w:before="100" w:beforeAutospacing="1" w:after="100" w:afterAutospacing="1"/>
    </w:pPr>
    <w:rPr>
      <w:rFonts w:ascii="宋体" w:hAnsi="宋体" w:cs="宋体"/>
      <w:sz w:val="24"/>
      <w:szCs w:val="24"/>
      <w:lang w:val="en-US" w:eastAsia="zh-CN"/>
    </w:rPr>
  </w:style>
  <w:style w:type="paragraph" w:styleId="13">
    <w:name w:val="Body Text First Indent"/>
    <w:basedOn w:val="2"/>
    <w:qFormat/>
    <w:uiPriority w:val="0"/>
    <w:pPr>
      <w:ind w:firstLine="420" w:firstLineChars="100"/>
    </w:pPr>
    <w:rPr>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Emphasis"/>
    <w:basedOn w:val="16"/>
    <w:qFormat/>
    <w:uiPriority w:val="0"/>
    <w:rPr>
      <w:i/>
    </w:rPr>
  </w:style>
  <w:style w:type="character" w:styleId="19">
    <w:name w:val="Hyperlink"/>
    <w:qFormat/>
    <w:uiPriority w:val="0"/>
    <w:rPr>
      <w:color w:val="006699"/>
      <w:u w:val="single"/>
    </w:rPr>
  </w:style>
  <w:style w:type="character" w:customStyle="1" w:styleId="20">
    <w:name w:val="font51"/>
    <w:basedOn w:val="16"/>
    <w:qFormat/>
    <w:uiPriority w:val="0"/>
    <w:rPr>
      <w:rFonts w:hint="default" w:ascii="Times New Roman" w:hAnsi="Times New Roman" w:cs="Times New Roman"/>
      <w:color w:val="000000"/>
      <w:sz w:val="22"/>
      <w:szCs w:val="22"/>
      <w:u w:val="none"/>
    </w:rPr>
  </w:style>
  <w:style w:type="character" w:customStyle="1" w:styleId="21">
    <w:name w:val="font21"/>
    <w:basedOn w:val="16"/>
    <w:qFormat/>
    <w:uiPriority w:val="0"/>
    <w:rPr>
      <w:rFonts w:hint="eastAsia" w:ascii="宋体" w:hAnsi="宋体" w:eastAsia="宋体" w:cs="宋体"/>
      <w:color w:val="000000"/>
      <w:sz w:val="22"/>
      <w:szCs w:val="22"/>
      <w:u w:val="none"/>
    </w:rPr>
  </w:style>
  <w:style w:type="character" w:customStyle="1" w:styleId="22">
    <w:name w:val="font41"/>
    <w:basedOn w:val="16"/>
    <w:qFormat/>
    <w:uiPriority w:val="0"/>
    <w:rPr>
      <w:rFonts w:hint="eastAsia" w:ascii="宋体" w:hAnsi="宋体" w:eastAsia="宋体" w:cs="宋体"/>
      <w:color w:val="000000"/>
      <w:sz w:val="22"/>
      <w:szCs w:val="22"/>
      <w:u w:val="none"/>
    </w:rPr>
  </w:style>
  <w:style w:type="character" w:customStyle="1" w:styleId="23">
    <w:name w:val="font11"/>
    <w:basedOn w:val="16"/>
    <w:qFormat/>
    <w:uiPriority w:val="0"/>
    <w:rPr>
      <w:rFonts w:hint="eastAsia" w:ascii="宋体" w:hAnsi="宋体" w:eastAsia="宋体" w:cs="宋体"/>
      <w:color w:val="000000"/>
      <w:sz w:val="20"/>
      <w:szCs w:val="20"/>
      <w:u w:val="none"/>
      <w:vertAlign w:val="superscript"/>
    </w:rPr>
  </w:style>
  <w:style w:type="character" w:customStyle="1" w:styleId="24">
    <w:name w:val="font31"/>
    <w:basedOn w:val="16"/>
    <w:uiPriority w:val="0"/>
    <w:rPr>
      <w:rFonts w:hint="default" w:ascii="Times New Roman" w:hAnsi="Times New Roman" w:cs="Times New Roman"/>
      <w:color w:val="000000"/>
      <w:sz w:val="22"/>
      <w:szCs w:val="22"/>
      <w:u w:val="none"/>
    </w:rPr>
  </w:style>
  <w:style w:type="character" w:customStyle="1" w:styleId="25">
    <w:name w:val="font61"/>
    <w:basedOn w:val="16"/>
    <w:qFormat/>
    <w:uiPriority w:val="0"/>
    <w:rPr>
      <w:rFonts w:hint="default" w:ascii="Times New Roman" w:hAnsi="Times New Roman" w:cs="Times New Roman"/>
      <w:color w:val="000000"/>
      <w:sz w:val="22"/>
      <w:szCs w:val="22"/>
      <w:u w:val="none"/>
    </w:rPr>
  </w:style>
  <w:style w:type="character" w:customStyle="1" w:styleId="26">
    <w:name w:val="font01"/>
    <w:basedOn w:val="16"/>
    <w:qFormat/>
    <w:uiPriority w:val="0"/>
    <w:rPr>
      <w:rFonts w:ascii="font-weight : 400" w:hAnsi="font-weight : 400" w:eastAsia="font-weight : 400" w:cs="font-weight : 400"/>
      <w:color w:val="000000"/>
      <w:sz w:val="22"/>
      <w:szCs w:val="22"/>
      <w:u w:val="none"/>
    </w:rPr>
  </w:style>
  <w:style w:type="paragraph" w:customStyle="1" w:styleId="2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28">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9">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848</Words>
  <Characters>4838</Characters>
  <Lines>40</Lines>
  <Paragraphs>11</Paragraphs>
  <TotalTime>0</TotalTime>
  <ScaleCrop>false</ScaleCrop>
  <LinksUpToDate>false</LinksUpToDate>
  <CharactersWithSpaces>5675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2020-04-27T07:18:00Z</dcterms:created>
  <dc:creator>yy</dc:creator>
  <cp:lastModifiedBy>有</cp:lastModifiedBy>
  <cp:lastPrinted>2020-11-12T00:30:00Z</cp:lastPrinted>
  <dcterms:modified xsi:type="dcterms:W3CDTF">2020-11-17T02:31:34Z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