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108</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电气独立智能控制模块项目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电气独立智能控制模块项目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1</w:t>
            </w:r>
          </w:p>
        </w:tc>
        <w:tc>
          <w:tcPr>
            <w:tcW w:w="2500" w:type="dxa"/>
            <w:vAlign w:val="center"/>
          </w:tcPr>
          <w:p>
            <w:pPr>
              <w:jc w:val="center"/>
              <w:rPr>
                <w:sz w:val="28"/>
                <w:szCs w:val="28"/>
              </w:rPr>
            </w:pPr>
            <w:r>
              <w:rPr>
                <w:rFonts w:hint="eastAsia"/>
                <w:sz w:val="21"/>
                <w:szCs w:val="21"/>
              </w:rPr>
              <w:t>摆动搬运手模块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2</w:t>
            </w:r>
          </w:p>
        </w:tc>
        <w:tc>
          <w:tcPr>
            <w:tcW w:w="2500" w:type="dxa"/>
            <w:vAlign w:val="center"/>
          </w:tcPr>
          <w:p>
            <w:pPr>
              <w:jc w:val="center"/>
              <w:rPr>
                <w:sz w:val="28"/>
                <w:szCs w:val="28"/>
              </w:rPr>
            </w:pPr>
            <w:r>
              <w:rPr>
                <w:rFonts w:hint="eastAsia"/>
                <w:sz w:val="21"/>
                <w:szCs w:val="21"/>
              </w:rPr>
              <w:t>印字模块2</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3</w:t>
            </w:r>
          </w:p>
        </w:tc>
        <w:tc>
          <w:tcPr>
            <w:tcW w:w="2500" w:type="dxa"/>
            <w:vAlign w:val="center"/>
          </w:tcPr>
          <w:p>
            <w:pPr>
              <w:jc w:val="center"/>
              <w:rPr>
                <w:sz w:val="28"/>
                <w:szCs w:val="28"/>
              </w:rPr>
            </w:pPr>
            <w:r>
              <w:rPr>
                <w:rFonts w:hint="eastAsia"/>
                <w:sz w:val="21"/>
                <w:szCs w:val="21"/>
              </w:rPr>
              <w:t>皮带输送机1模块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4</w:t>
            </w:r>
          </w:p>
        </w:tc>
        <w:tc>
          <w:tcPr>
            <w:tcW w:w="2500" w:type="dxa"/>
            <w:vAlign w:val="center"/>
          </w:tcPr>
          <w:p>
            <w:pPr>
              <w:jc w:val="center"/>
              <w:rPr>
                <w:sz w:val="28"/>
                <w:szCs w:val="28"/>
              </w:rPr>
            </w:pPr>
            <w:r>
              <w:rPr>
                <w:rFonts w:hint="eastAsia"/>
                <w:sz w:val="21"/>
                <w:szCs w:val="21"/>
              </w:rPr>
              <w:t>称重模块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5</w:t>
            </w:r>
          </w:p>
        </w:tc>
        <w:tc>
          <w:tcPr>
            <w:tcW w:w="2500" w:type="dxa"/>
            <w:vAlign w:val="center"/>
          </w:tcPr>
          <w:p>
            <w:pPr>
              <w:jc w:val="center"/>
              <w:rPr>
                <w:sz w:val="28"/>
                <w:szCs w:val="28"/>
              </w:rPr>
            </w:pPr>
            <w:r>
              <w:rPr>
                <w:rFonts w:hint="eastAsia"/>
                <w:sz w:val="21"/>
                <w:szCs w:val="21"/>
              </w:rPr>
              <w:t>杯体、杯盖供料仓模块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2"/>
                <w:szCs w:val="22"/>
              </w:rPr>
            </w:pPr>
            <w:r>
              <w:rPr>
                <w:sz w:val="22"/>
                <w:szCs w:val="22"/>
              </w:rPr>
              <w:t>6</w:t>
            </w:r>
          </w:p>
        </w:tc>
        <w:tc>
          <w:tcPr>
            <w:tcW w:w="2500" w:type="dxa"/>
            <w:vAlign w:val="center"/>
          </w:tcPr>
          <w:p>
            <w:pPr>
              <w:jc w:val="center"/>
              <w:rPr>
                <w:sz w:val="28"/>
                <w:szCs w:val="28"/>
              </w:rPr>
            </w:pPr>
            <w:r>
              <w:rPr>
                <w:rFonts w:hint="eastAsia"/>
                <w:sz w:val="21"/>
                <w:szCs w:val="21"/>
              </w:rPr>
              <w:t>翻转搬运手模块</w:t>
            </w:r>
          </w:p>
        </w:tc>
        <w:tc>
          <w:tcPr>
            <w:tcW w:w="1167" w:type="dxa"/>
            <w:vAlign w:val="center"/>
          </w:tcPr>
          <w:p>
            <w:pPr>
              <w:jc w:val="center"/>
              <w:rPr>
                <w:sz w:val="28"/>
                <w:szCs w:val="28"/>
              </w:rPr>
            </w:pPr>
            <w:r>
              <w:rPr>
                <w:rFonts w:hint="eastAsia"/>
                <w:sz w:val="21"/>
                <w:szCs w:val="21"/>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电操作手训练系统需实现以下功能：</w:t>
      </w:r>
    </w:p>
    <w:p>
      <w:pPr>
        <w:keepNext w:val="0"/>
        <w:keepLines w:val="0"/>
        <w:pageBreakBefore w:val="0"/>
        <w:widowControl w:val="0"/>
        <w:kinsoku/>
        <w:wordWrap/>
        <w:overflowPunct/>
        <w:topLinePunct w:val="0"/>
        <w:bidi w:val="0"/>
        <w:snapToGrid/>
        <w:spacing w:line="400" w:lineRule="exact"/>
        <w:ind w:firstLine="482" w:firstLineChars="200"/>
        <w:contextualSpacing/>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1、杯体、杯盖供料模块</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sz w:val="24"/>
          <w:szCs w:val="24"/>
          <w:lang w:eastAsia="zh-CN"/>
        </w:rPr>
        <w:t>投标时</w:t>
      </w:r>
      <w:r>
        <w:rPr>
          <w:rStyle w:val="17"/>
          <w:rFonts w:hint="eastAsia" w:ascii="仿宋_GB2312" w:hAnsi="仿宋_GB2312" w:eastAsia="仿宋_GB2312" w:cs="仿宋_GB2312"/>
          <w:sz w:val="24"/>
          <w:szCs w:val="24"/>
        </w:rPr>
        <w:t>提供技术资料证明文件或实物相片）</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功能：模块可以分离迭放在料桶管道内的杯体或杯盖工件。由一个双作用气缸其逐个推出。</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结构组成：透明有机玻璃圆筒，型材基体，方圆型地脚盘，门式井架，推料舌块，柱型气缸，电磁阀模块、传感器、电气接口模块等组成。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主题：分离，通过料仓的结构，可以对程序设计的简单和复杂主题进行讲授。迭放料仓模块内可使用不同的工件或盖子。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工作气压：0.4～0.6Mpa</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电源电压：24VDC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圆形工件尺寸：最大40mm</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外形尺寸：不低于200×90×350mm。</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气动技术基础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传感器技术：电磁限位开关，光电传感器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管路连接和接线连接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PLC编程</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2" w:firstLineChars="200"/>
        <w:contextualSpacing/>
        <w:textAlignment w:val="auto"/>
        <w:rPr>
          <w:rFonts w:hint="eastAsia" w:ascii="仿宋_GB2312" w:hAnsi="仿宋_GB2312" w:eastAsia="仿宋_GB2312" w:cs="仿宋_GB2312"/>
          <w:sz w:val="24"/>
          <w:szCs w:val="24"/>
        </w:rPr>
      </w:pPr>
      <w:r>
        <w:rPr>
          <w:rStyle w:val="17"/>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2、摆动搬运手模块</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sz w:val="24"/>
          <w:szCs w:val="24"/>
          <w:lang w:eastAsia="zh-CN"/>
        </w:rPr>
        <w:t>投标时</w:t>
      </w:r>
      <w:r>
        <w:rPr>
          <w:rStyle w:val="17"/>
          <w:rFonts w:hint="eastAsia" w:ascii="仿宋_GB2312" w:hAnsi="仿宋_GB2312" w:eastAsia="仿宋_GB2312" w:cs="仿宋_GB2312"/>
          <w:sz w:val="24"/>
          <w:szCs w:val="24"/>
        </w:rPr>
        <w:t>提供技术资料证明文件或实物相片）</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功能：以水平摆动方式，将工作在两点之间的工件进行搬运。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模块结构组成：弧形夹爪，旋转气缸，滑块治具气缸，限位器、型材基体，方圆型地脚盘，气阀岛模块，传感器、电气接口模块等组成。</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主题：搬运及工作点位控制，由弧形夹爪夹紧工件，旋转气缸执行工件搬运，终端缓冲确保运动装置平缓达到终端位置。 </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工作气压：0.4～0.6Mpa</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电源电压：24VDC</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圆形工件尺寸：最大40mm</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外形尺寸：不低于150×130×190mm</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气动技术基础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传感器技术：电磁限位开关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管路连接和接线连接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理解控制回路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缓冲定位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PLC编程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调试运行调试运行</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3、皮带输送机模块</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功能：可以实现工件的传送。 </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模块结构组成：由直流减速电机，皮带，涨紧调节装置，带轮，同步带，型材机体，电机控制器、传感器、可调支架、电气接口模块等组成</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主题：双向传送工件，使用继电器切换及能耗制动控制</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电源电压：24VDC</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最大工件宽度：40mm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有效行程：340mm</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电机参数：24V，60r/min</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外形尺寸：不低于350×40×120mm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光纤传感器</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培训内容：传送带控制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传感器技术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电气原理图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PLC编程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工件位置调试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调试运行</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bidi w:val="0"/>
        <w:snapToGrid/>
        <w:spacing w:line="400" w:lineRule="exact"/>
        <w:ind w:firstLine="482" w:firstLineChars="200"/>
        <w:contextualSpacing/>
        <w:textAlignment w:val="auto"/>
        <w:rPr>
          <w:rFonts w:hint="eastAsia" w:ascii="仿宋_GB2312" w:hAnsi="仿宋_GB2312" w:eastAsia="仿宋_GB2312" w:cs="仿宋_GB2312"/>
          <w:sz w:val="24"/>
          <w:szCs w:val="24"/>
          <w:lang w:eastAsia="zh-CN"/>
        </w:rPr>
      </w:pPr>
      <w:r>
        <w:rPr>
          <w:rStyle w:val="17"/>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4、印字模块</w:t>
      </w:r>
      <w:r>
        <w:rPr>
          <w:rStyle w:val="17"/>
          <w:rFonts w:hint="eastAsia" w:ascii="仿宋_GB2312" w:hAnsi="仿宋_GB2312" w:eastAsia="仿宋_GB2312" w:cs="仿宋_GB2312"/>
          <w:sz w:val="24"/>
          <w:szCs w:val="24"/>
        </w:rPr>
        <w:t>（</w:t>
      </w:r>
      <w:r>
        <w:rPr>
          <w:rStyle w:val="17"/>
          <w:rFonts w:hint="eastAsia" w:ascii="仿宋_GB2312" w:hAnsi="仿宋_GB2312" w:eastAsia="仿宋_GB2312" w:cs="仿宋_GB2312"/>
          <w:sz w:val="24"/>
          <w:szCs w:val="24"/>
          <w:lang w:eastAsia="zh-CN"/>
        </w:rPr>
        <w:t>投标时</w:t>
      </w:r>
      <w:r>
        <w:rPr>
          <w:rStyle w:val="17"/>
          <w:rFonts w:hint="eastAsia" w:ascii="仿宋_GB2312" w:hAnsi="仿宋_GB2312" w:eastAsia="仿宋_GB2312" w:cs="仿宋_GB2312"/>
          <w:sz w:val="24"/>
          <w:szCs w:val="24"/>
        </w:rPr>
        <w:t>提供技术资料证明文件或实物相片）</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功能：对工件属性、质量印字标记。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模块结构组成：由打标气缸、打标头、油墨盒、滑块气缸架、直线导轨、方圆型地脚盘、电磁传感器、调压阀、电磁阀组、电气接口模块等组成。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主题：压力控制，节拍控制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技术数据：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工作气压：0.4～0.6MPa；电源电压：24VDC；圆形工件尺寸：最大40mm；</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外形尺寸：350×300×500mm。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 气动技术基础；传感器，电磁限位开关；直线导轨安装应用；管路连接和接线连接；理解控制回路；逻辑控制方法；PLC程序设计；压力控制；调试运行。</w:t>
      </w:r>
    </w:p>
    <w:p>
      <w:pPr>
        <w:keepNext w:val="0"/>
        <w:keepLines w:val="0"/>
        <w:pageBreakBefore w:val="0"/>
        <w:widowControl w:val="0"/>
        <w:kinsoku/>
        <w:wordWrap/>
        <w:overflowPunct/>
        <w:topLinePunct w:val="0"/>
        <w:bidi w:val="0"/>
        <w:snapToGrid/>
        <w:spacing w:line="400" w:lineRule="exact"/>
        <w:ind w:firstLine="480" w:firstLineChars="200"/>
        <w:contextualSpacing/>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5、称重模块</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功能：可以计量工件重量。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模块结构组成：由电阻应变片式重量传感器、转换电路板、电气界面、立柱、地脚链接支架、电气接口等组成。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技术数据：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电源电压：24VDC；外形尺寸：130×90×190mm；称重范围：0～200g；分辨力（灵敏度）：1g。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 重量校准；模拟量采集及转换；工件重量称量与检测控制；系统调试运行。</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Style w:val="17"/>
          <w:rFonts w:hint="eastAsia" w:ascii="仿宋_GB2312" w:hAnsi="仿宋_GB2312" w:eastAsia="仿宋_GB2312" w:cs="仿宋_GB2312"/>
          <w:b w:val="0"/>
          <w:sz w:val="24"/>
          <w:szCs w:val="24"/>
        </w:rPr>
      </w:pPr>
      <w:r>
        <w:rPr>
          <w:rFonts w:hint="eastAsia" w:ascii="仿宋_GB2312" w:hAnsi="仿宋_GB2312" w:eastAsia="仿宋_GB2312" w:cs="仿宋_GB2312"/>
          <w:sz w:val="24"/>
          <w:szCs w:val="24"/>
        </w:rPr>
        <w:t>6、翻转搬运手模块</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功能：可以将工件翻转180°，再置于原位。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模块结构组成：由气动平行夹，180°旋转气缸，滑块治具气缸，弧形夹爪，型材基体，方圆型地脚盘，电磁阀模块，传感器、电气接口模块等组成。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主题：工件翻转、工件清空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由弧形夹爪夹紧工件，滑块治具气缸负责工件提升，旋转气缸执行工件翻转。根据要求也可对工件清空。 </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技术数据：</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工作气压：0.4～0.6MPa；电源电压：24VDC；圆形工件尺寸：最大40mm；</w:t>
      </w:r>
    </w:p>
    <w:p>
      <w:pPr>
        <w:pStyle w:val="30"/>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外形尺寸：180×120×280mm。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培训内容：气动技术基础；电磁限位开关，传感器；管路连接和接线连接；理解控制回路；PLC程序设计；调试运行。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8.8</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FSongGB Std W3">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0C6AE2"/>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234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0EA415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 w:type="paragraph" w:customStyle="1" w:styleId="30">
    <w:name w:val="Default"/>
    <w:uiPriority w:val="0"/>
    <w:pPr>
      <w:widowControl w:val="0"/>
      <w:autoSpaceDE w:val="0"/>
      <w:autoSpaceDN w:val="0"/>
      <w:adjustRightInd w:val="0"/>
    </w:pPr>
    <w:rPr>
      <w:rFonts w:ascii="DFSongGB Std W3" w:hAnsi="Times New Roman" w:eastAsia="DFSongGB Std W3" w:cs="DFSongGB Std W3"/>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2020-11-12T00:34:00Z</cp:lastPrinted>
  <dcterms:modified xsi:type="dcterms:W3CDTF">2020-11-17T02:43:46Z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