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105</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测量训练系统项目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测量训练系统项目（二次）</w:t>
      </w:r>
      <w:bookmarkStart w:id="0" w:name="_GoBack"/>
      <w:bookmarkEnd w:id="0"/>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w:t>
            </w:r>
          </w:p>
        </w:tc>
        <w:tc>
          <w:tcPr>
            <w:tcW w:w="2500" w:type="dxa"/>
            <w:vAlign w:val="center"/>
          </w:tcPr>
          <w:p>
            <w:pPr>
              <w:jc w:val="center"/>
              <w:rPr>
                <w:sz w:val="24"/>
                <w:szCs w:val="24"/>
              </w:rPr>
            </w:pPr>
            <w:r>
              <w:rPr>
                <w:rFonts w:hint="eastAsia"/>
                <w:color w:val="000000"/>
                <w:sz w:val="20"/>
                <w:szCs w:val="20"/>
              </w:rPr>
              <w:t>测量单元</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w:t>
            </w:r>
          </w:p>
        </w:tc>
        <w:tc>
          <w:tcPr>
            <w:tcW w:w="2500" w:type="dxa"/>
            <w:vAlign w:val="center"/>
          </w:tcPr>
          <w:p>
            <w:pPr>
              <w:jc w:val="center"/>
              <w:rPr>
                <w:sz w:val="24"/>
                <w:szCs w:val="24"/>
              </w:rPr>
            </w:pPr>
            <w:r>
              <w:rPr>
                <w:rFonts w:hint="eastAsia"/>
                <w:color w:val="000000"/>
                <w:sz w:val="20"/>
                <w:szCs w:val="20"/>
              </w:rPr>
              <w:t>MPS小车</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3</w:t>
            </w:r>
          </w:p>
        </w:tc>
        <w:tc>
          <w:tcPr>
            <w:tcW w:w="2500" w:type="dxa"/>
            <w:vAlign w:val="center"/>
          </w:tcPr>
          <w:p>
            <w:pPr>
              <w:jc w:val="center"/>
              <w:rPr>
                <w:sz w:val="24"/>
                <w:szCs w:val="24"/>
              </w:rPr>
            </w:pPr>
            <w:r>
              <w:rPr>
                <w:rFonts w:hint="eastAsia"/>
                <w:color w:val="000000"/>
                <w:sz w:val="20"/>
                <w:szCs w:val="20"/>
              </w:rPr>
              <w:t>控制面板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4</w:t>
            </w:r>
          </w:p>
        </w:tc>
        <w:tc>
          <w:tcPr>
            <w:tcW w:w="2500" w:type="dxa"/>
            <w:vAlign w:val="center"/>
          </w:tcPr>
          <w:p>
            <w:pPr>
              <w:jc w:val="center"/>
              <w:rPr>
                <w:sz w:val="24"/>
                <w:szCs w:val="24"/>
              </w:rPr>
            </w:pPr>
            <w:r>
              <w:rPr>
                <w:rFonts w:hint="eastAsia"/>
                <w:color w:val="000000"/>
                <w:sz w:val="20"/>
                <w:szCs w:val="20"/>
              </w:rPr>
              <w:t>PLC模块1512</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5</w:t>
            </w:r>
          </w:p>
        </w:tc>
        <w:tc>
          <w:tcPr>
            <w:tcW w:w="2500" w:type="dxa"/>
            <w:vAlign w:val="center"/>
          </w:tcPr>
          <w:p>
            <w:pPr>
              <w:jc w:val="center"/>
              <w:rPr>
                <w:sz w:val="24"/>
                <w:szCs w:val="24"/>
              </w:rPr>
            </w:pPr>
            <w:r>
              <w:rPr>
                <w:rFonts w:hint="eastAsia"/>
                <w:color w:val="000000"/>
                <w:sz w:val="20"/>
                <w:szCs w:val="20"/>
              </w:rPr>
              <w:t>数字量正交线</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6</w:t>
            </w:r>
          </w:p>
        </w:tc>
        <w:tc>
          <w:tcPr>
            <w:tcW w:w="2500" w:type="dxa"/>
            <w:vAlign w:val="center"/>
          </w:tcPr>
          <w:p>
            <w:pPr>
              <w:jc w:val="center"/>
              <w:rPr>
                <w:sz w:val="24"/>
                <w:szCs w:val="24"/>
              </w:rPr>
            </w:pPr>
            <w:r>
              <w:rPr>
                <w:rFonts w:hint="eastAsia"/>
                <w:color w:val="000000"/>
                <w:sz w:val="20"/>
                <w:szCs w:val="20"/>
              </w:rPr>
              <w:t>模拟量正交线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7</w:t>
            </w:r>
          </w:p>
        </w:tc>
        <w:tc>
          <w:tcPr>
            <w:tcW w:w="2500" w:type="dxa"/>
            <w:vAlign w:val="center"/>
          </w:tcPr>
          <w:p>
            <w:pPr>
              <w:jc w:val="center"/>
              <w:rPr>
                <w:sz w:val="24"/>
                <w:szCs w:val="24"/>
              </w:rPr>
            </w:pPr>
            <w:r>
              <w:rPr>
                <w:rFonts w:hint="eastAsia"/>
                <w:color w:val="000000"/>
                <w:sz w:val="20"/>
                <w:szCs w:val="20"/>
              </w:rPr>
              <w:t>稳压电源</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8</w:t>
            </w:r>
          </w:p>
        </w:tc>
        <w:tc>
          <w:tcPr>
            <w:tcW w:w="2500" w:type="dxa"/>
            <w:vAlign w:val="center"/>
          </w:tcPr>
          <w:p>
            <w:pPr>
              <w:jc w:val="center"/>
              <w:rPr>
                <w:sz w:val="24"/>
                <w:szCs w:val="24"/>
              </w:rPr>
            </w:pPr>
            <w:r>
              <w:rPr>
                <w:rFonts w:hint="eastAsia"/>
                <w:color w:val="000000"/>
                <w:sz w:val="20"/>
                <w:szCs w:val="20"/>
              </w:rPr>
              <w:t>安装调试</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10</w:t>
            </w:r>
          </w:p>
        </w:tc>
        <w:tc>
          <w:tcPr>
            <w:tcW w:w="2500" w:type="dxa"/>
            <w:vAlign w:val="center"/>
          </w:tcPr>
          <w:p>
            <w:pPr>
              <w:jc w:val="center"/>
              <w:rPr>
                <w:sz w:val="24"/>
                <w:szCs w:val="24"/>
              </w:rPr>
            </w:pPr>
            <w:r>
              <w:rPr>
                <w:rFonts w:hint="eastAsia"/>
                <w:color w:val="000000"/>
                <w:sz w:val="20"/>
                <w:szCs w:val="20"/>
              </w:rPr>
              <w:t>15针电缆</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11</w:t>
            </w:r>
          </w:p>
        </w:tc>
        <w:tc>
          <w:tcPr>
            <w:tcW w:w="2500" w:type="dxa"/>
            <w:vAlign w:val="center"/>
          </w:tcPr>
          <w:p>
            <w:pPr>
              <w:jc w:val="center"/>
              <w:rPr>
                <w:sz w:val="24"/>
                <w:szCs w:val="24"/>
              </w:rPr>
            </w:pPr>
            <w:r>
              <w:rPr>
                <w:rFonts w:hint="eastAsia"/>
                <w:color w:val="000000"/>
                <w:sz w:val="20"/>
                <w:szCs w:val="20"/>
              </w:rPr>
              <w:t>仿真盒</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9</w:t>
            </w:r>
          </w:p>
        </w:tc>
        <w:tc>
          <w:tcPr>
            <w:tcW w:w="2500" w:type="dxa"/>
            <w:vAlign w:val="center"/>
          </w:tcPr>
          <w:p>
            <w:pPr>
              <w:jc w:val="center"/>
              <w:rPr>
                <w:sz w:val="24"/>
                <w:szCs w:val="24"/>
              </w:rPr>
            </w:pPr>
            <w:r>
              <w:rPr>
                <w:rFonts w:hint="eastAsia"/>
                <w:color w:val="000000"/>
                <w:sz w:val="20"/>
                <w:szCs w:val="20"/>
              </w:rPr>
              <w:t>C接口</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12</w:t>
            </w:r>
          </w:p>
        </w:tc>
        <w:tc>
          <w:tcPr>
            <w:tcW w:w="2500" w:type="dxa"/>
            <w:vAlign w:val="center"/>
          </w:tcPr>
          <w:p>
            <w:pPr>
              <w:jc w:val="center"/>
              <w:rPr>
                <w:sz w:val="24"/>
                <w:szCs w:val="24"/>
              </w:rPr>
            </w:pPr>
            <w:r>
              <w:rPr>
                <w:rFonts w:hint="eastAsia"/>
                <w:color w:val="000000"/>
                <w:sz w:val="20"/>
                <w:szCs w:val="20"/>
              </w:rPr>
              <w:t>数字量反交线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13</w:t>
            </w:r>
          </w:p>
        </w:tc>
        <w:tc>
          <w:tcPr>
            <w:tcW w:w="2500" w:type="dxa"/>
            <w:vAlign w:val="center"/>
          </w:tcPr>
          <w:p>
            <w:pPr>
              <w:jc w:val="center"/>
              <w:rPr>
                <w:sz w:val="24"/>
                <w:szCs w:val="24"/>
              </w:rPr>
            </w:pPr>
            <w:r>
              <w:rPr>
                <w:rFonts w:hint="eastAsia"/>
                <w:color w:val="000000"/>
                <w:sz w:val="20"/>
                <w:szCs w:val="20"/>
              </w:rPr>
              <w:t>模拟量反交线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14</w:t>
            </w:r>
          </w:p>
        </w:tc>
        <w:tc>
          <w:tcPr>
            <w:tcW w:w="2500" w:type="dxa"/>
            <w:vAlign w:val="center"/>
          </w:tcPr>
          <w:p>
            <w:pPr>
              <w:jc w:val="center"/>
              <w:rPr>
                <w:sz w:val="24"/>
                <w:szCs w:val="24"/>
              </w:rPr>
            </w:pPr>
            <w:r>
              <w:rPr>
                <w:rFonts w:hint="eastAsia"/>
                <w:color w:val="000000"/>
                <w:sz w:val="20"/>
                <w:szCs w:val="20"/>
              </w:rPr>
              <w:t>单向节流阀</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15</w:t>
            </w:r>
          </w:p>
        </w:tc>
        <w:tc>
          <w:tcPr>
            <w:tcW w:w="2500" w:type="dxa"/>
            <w:vAlign w:val="center"/>
          </w:tcPr>
          <w:p>
            <w:pPr>
              <w:jc w:val="center"/>
              <w:rPr>
                <w:sz w:val="24"/>
                <w:szCs w:val="24"/>
              </w:rPr>
            </w:pPr>
            <w:r>
              <w:rPr>
                <w:rFonts w:hint="eastAsia"/>
                <w:color w:val="000000"/>
                <w:sz w:val="20"/>
                <w:szCs w:val="20"/>
              </w:rPr>
              <w:t>工件套装</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16</w:t>
            </w:r>
          </w:p>
        </w:tc>
        <w:tc>
          <w:tcPr>
            <w:tcW w:w="2500" w:type="dxa"/>
            <w:vAlign w:val="center"/>
          </w:tcPr>
          <w:p>
            <w:pPr>
              <w:jc w:val="center"/>
              <w:rPr>
                <w:sz w:val="24"/>
                <w:szCs w:val="24"/>
              </w:rPr>
            </w:pPr>
            <w:r>
              <w:rPr>
                <w:rFonts w:hint="eastAsia"/>
                <w:color w:val="000000"/>
                <w:sz w:val="20"/>
                <w:szCs w:val="20"/>
              </w:rPr>
              <w:t>工具箱</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4"/>
                <w:szCs w:val="24"/>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测量训练系统需实现以下功能：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1、测量训练系统必需完成下列功能：</w:t>
      </w:r>
      <w:r>
        <w:rPr>
          <w:rFonts w:hint="eastAsia" w:ascii="仿宋_GB2312" w:hAnsi="仿宋_GB2312" w:eastAsia="仿宋_GB2312" w:cs="仿宋_GB2312"/>
          <w:color w:val="000000"/>
          <w:sz w:val="24"/>
          <w:szCs w:val="24"/>
        </w:rPr>
        <w:t>将工件从工序上取出，以将其放到测量台上，测其高度。传送带将这些工件传送到转动提升模块处。通过一个提升摆动动作，该工件被放置在反射光传感器下。之后工件返回工序中。根据测量结果，通过一个电动摆动驱动，工件被遴选到一个滑道上，或者被移动到传输带的末端。带光纤电缆的光学传感器监控传送带上的物料流。可以双向运行传输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反射光传感器需满足既能提供模拟输出信号，也能提供二进制输出信号。从而可以进行不同层次的教学。通过简单的示教功能就可以按测量要求设定二进制的开关输出。在模块内有一个线性运动和一个摆动运动以及一个气动抓爪起作用。可以将静态测量任务自动化，或者从将随机样本从工序中取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2、设备必须能够进行下列内容的教学培训：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（1）机械：工作单元的机械安装与调试；（2）气动：无杆气缸应用；（3）电气：电气元件的布线；（4）传感器：应用模拟量位移传感器了解模拟量传感器的操作模式和应用；（5）PLC：PLC的编程及应用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3、技术参数：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（1）工作压≥600kPa（6bar）；（2）电源电压：24VDC；（3）圆形工件尺寸：最大40mm；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（4）8个数字传感器；7个数字执行器；1个模拟量输入；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（5）铝合金板材厚度不小于32mm，板材尺寸不小于（长x宽x高）700mmx350mmx32mm，板的两面都有安装槽，格栅间隔不小于50mm，槽兼容ITEM型材设备，用于安装工作单元的所有部件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4、▲测量工作单元必需包括下列主要组成部分：（要求提供技术证明材料或实物相片）</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（1）传送带模块：直流电机：24V DC/1.5A，带电机正反转控制器；2个漫反射传感器、光栅、微型I/O 终端，型材板用固定材料，输送隔离器/制动器，电动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（2）旋转提升模块：工作压力≥600kPa（6bar）</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电源：24VDC，4个数字传感器，3个数字执行机构，C轴转角：0°–180°</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Z 轴行程长度≥20mm，摆动半径（轴中心点到工件中心点）：100mm，可调节摆动提升单元高度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（3）微型I/O终端  （4）阀板，3x5/2换向控制阀，单电控式 （5）带导向装置的双作用气缸</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（6）摆动缸 （7）4个电磁限位开关 （8）带气爪夹头的平行气爪  （9）型材板固定材料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（10）测量台：高度：665mm（±10mm）；1个数字/模拟信号（示教）；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高度可调节；用于角形/圆形工件的工件夹具：≤40mm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▲5</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color w:val="000000"/>
          <w:sz w:val="24"/>
          <w:szCs w:val="24"/>
        </w:rPr>
        <w:t xml:space="preserve">IO接线端功能：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智能化接口技术。系统接口的设 计满足可以将两个模块方便地通过SysLink连接在一个PLC上。如果模块配有模拟信号，可以通过15针D-Sub 插口获取这些信号。</w:t>
      </w:r>
      <w:r>
        <w:rPr>
          <w:rStyle w:val="17"/>
          <w:rFonts w:hint="eastAsia" w:ascii="仿宋_GB2312" w:hAnsi="仿宋_GB2312" w:eastAsia="仿宋_GB2312" w:cs="仿宋_GB2312"/>
          <w:sz w:val="24"/>
          <w:szCs w:val="24"/>
        </w:rPr>
        <w:t>投标现场需展示接线端实物，证明其智能化接口技术与技术参数要求的符合性。</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24针IEEE插口（SysLink）；15针Sub-D插口；2x15针D-Sub-HD插口；LED状态指示灯；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尺寸（高x深）：</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68x77mm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17"/>
          <w:rFonts w:hint="eastAsia" w:ascii="仿宋_GB2312" w:hAnsi="仿宋_GB2312" w:eastAsia="仿宋_GB2312" w:cs="仿宋_GB2312"/>
          <w:color w:val="000000"/>
          <w:sz w:val="24"/>
          <w:szCs w:val="24"/>
        </w:rPr>
      </w:pPr>
      <w:r>
        <w:rPr>
          <w:rStyle w:val="17"/>
          <w:rFonts w:hint="eastAsia" w:ascii="仿宋_GB2312" w:hAnsi="仿宋_GB2312" w:eastAsia="仿宋_GB2312" w:cs="仿宋_GB2312"/>
          <w:color w:val="000000"/>
          <w:sz w:val="24"/>
          <w:szCs w:val="24"/>
        </w:rPr>
        <w:t>6</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color w:val="000000"/>
          <w:sz w:val="24"/>
          <w:szCs w:val="24"/>
        </w:rPr>
        <w:t>测量工作单元应具备的扩展控制方式和模块间互换功能：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（1）扩展控制方式：计算机通过模拟仿真软件与接口盒进行连接，并通过OPC接口协议进行控制。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7、配套操作开关板：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面板包括各种按键：复膜按键；启动键；停止键；复位键；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≥2个可任意指 定的控制灯；显示方式：LED显示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8、配套工作站底车：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使用底车需构成紧凑、可移动的机电一体化实训设备工作单元。工作单元应用部分及PLC控制板应可以方便的安装在底车上。底车前侧应可固定控制面板。底车应装有脚轮。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高度:≥750mm、宽度:≥350mm、深度:≥700mm</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9、配套稳压电源: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输入电压：220/115VAC (47–63 Hz)；输出电压：24VDC，短路保护；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输出电流：最大不超过4.5A；电源线：≥1.3m</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10、配套控制模块1512</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集成市场通用编程控制器：19"模块模拟板，带2xSysLink 接口，用于工作单元和控制面板，各有8个数字量输入和8个数字量输出；1x Sub-D 15 针接口，带4个模拟量输入和2个模拟量输出；急停跳线，用于连接安全回路以断开8个数字量输出。可以在实验台或在工作站上使用。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稳定、粉末涂层、薄钢板支架系统，可以使用19"模拟模块进行扩展。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接口：PROFINET IRT，带2个交换机端口；</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输入/输出端：32x数字输入端（24VDC）；32x数字输出端（24VDC/0.5A）；</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5x模拟输入端，4xU/I，1xR/RTD，16位分辨率；2x模拟量输出端，2xU/I，16位分辨率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11、配套工具箱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12、配套仿真盒及线缆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模拟输入量，用于测试PLC程序，该仿真盒还可以模拟和显示模拟量信号(0-10V)。</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13、配套加工工件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14、配套单向节流阀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16.1</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07EEC"/>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AB7348"/>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757F04"/>
    <w:rsid w:val="4DB4768A"/>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3709E"/>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467D4"/>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9C622D"/>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254791"/>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2020-11-12T00:30:00Z</cp:lastPrinted>
  <dcterms:modified xsi:type="dcterms:W3CDTF">2020-12-01T10:26:43Z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