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公告（二次）</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108</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电气独立智能控制模块项目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电气独立智能控制模块项目（二次）</w:t>
      </w:r>
      <w:bookmarkStart w:id="0" w:name="_GoBack"/>
      <w:bookmarkEnd w:id="0"/>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500"/>
        <w:gridCol w:w="1167"/>
        <w:gridCol w:w="16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jc w:val="center"/>
              <w:rPr>
                <w:b/>
                <w:bCs/>
                <w:sz w:val="22"/>
                <w:szCs w:val="22"/>
              </w:rPr>
            </w:pPr>
            <w:r>
              <w:rPr>
                <w:rFonts w:hint="eastAsia"/>
                <w:b/>
                <w:bCs/>
                <w:sz w:val="22"/>
                <w:szCs w:val="22"/>
              </w:rPr>
              <w:t>序号</w:t>
            </w:r>
          </w:p>
        </w:tc>
        <w:tc>
          <w:tcPr>
            <w:tcW w:w="2500" w:type="dxa"/>
            <w:vAlign w:val="center"/>
          </w:tcPr>
          <w:p>
            <w:pPr>
              <w:jc w:val="center"/>
              <w:rPr>
                <w:b/>
                <w:bCs/>
                <w:sz w:val="22"/>
                <w:szCs w:val="22"/>
              </w:rPr>
            </w:pPr>
            <w:r>
              <w:rPr>
                <w:b/>
                <w:bCs/>
                <w:sz w:val="22"/>
                <w:szCs w:val="22"/>
              </w:rPr>
              <w:t>名称</w:t>
            </w:r>
          </w:p>
        </w:tc>
        <w:tc>
          <w:tcPr>
            <w:tcW w:w="1167" w:type="dxa"/>
            <w:vAlign w:val="center"/>
          </w:tcPr>
          <w:p>
            <w:pPr>
              <w:jc w:val="center"/>
              <w:rPr>
                <w:b/>
                <w:bCs/>
                <w:sz w:val="22"/>
                <w:szCs w:val="22"/>
              </w:rPr>
            </w:pPr>
            <w:r>
              <w:rPr>
                <w:b/>
                <w:bCs/>
                <w:sz w:val="22"/>
                <w:szCs w:val="22"/>
              </w:rPr>
              <w:t>数量</w:t>
            </w:r>
          </w:p>
        </w:tc>
        <w:tc>
          <w:tcPr>
            <w:tcW w:w="1620" w:type="dxa"/>
            <w:vAlign w:val="center"/>
          </w:tcPr>
          <w:p>
            <w:pPr>
              <w:jc w:val="center"/>
              <w:rPr>
                <w:b/>
                <w:bCs/>
                <w:sz w:val="22"/>
                <w:szCs w:val="22"/>
              </w:rPr>
            </w:pPr>
            <w:r>
              <w:rPr>
                <w:b/>
                <w:bCs/>
                <w:sz w:val="22"/>
                <w:szCs w:val="22"/>
              </w:rPr>
              <w:t>单价</w:t>
            </w:r>
          </w:p>
        </w:tc>
        <w:tc>
          <w:tcPr>
            <w:tcW w:w="1923" w:type="dxa"/>
            <w:vAlign w:val="center"/>
          </w:tcPr>
          <w:p>
            <w:pPr>
              <w:jc w:val="center"/>
              <w:rPr>
                <w:rFonts w:hint="eastAsia" w:eastAsia="宋体"/>
                <w:b/>
                <w:bCs/>
                <w:sz w:val="22"/>
                <w:szCs w:val="22"/>
                <w:lang w:eastAsia="zh-CN"/>
              </w:rPr>
            </w:pPr>
            <w:r>
              <w:rPr>
                <w:rFonts w:hint="eastAsia"/>
                <w:b/>
                <w:bCs/>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1</w:t>
            </w:r>
          </w:p>
        </w:tc>
        <w:tc>
          <w:tcPr>
            <w:tcW w:w="2500" w:type="dxa"/>
            <w:vAlign w:val="center"/>
          </w:tcPr>
          <w:p>
            <w:pPr>
              <w:jc w:val="center"/>
              <w:rPr>
                <w:sz w:val="28"/>
                <w:szCs w:val="28"/>
              </w:rPr>
            </w:pPr>
            <w:r>
              <w:rPr>
                <w:rFonts w:hint="eastAsia"/>
                <w:sz w:val="21"/>
                <w:szCs w:val="21"/>
              </w:rPr>
              <w:t>摆动搬运手模块</w:t>
            </w:r>
          </w:p>
        </w:tc>
        <w:tc>
          <w:tcPr>
            <w:tcW w:w="1167" w:type="dxa"/>
            <w:vAlign w:val="center"/>
          </w:tcPr>
          <w:p>
            <w:pPr>
              <w:jc w:val="center"/>
              <w:rPr>
                <w:sz w:val="28"/>
                <w:szCs w:val="28"/>
              </w:rPr>
            </w:pPr>
            <w:r>
              <w:rPr>
                <w:rFonts w:hint="eastAsia"/>
                <w:sz w:val="21"/>
                <w:szCs w:val="21"/>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2</w:t>
            </w:r>
          </w:p>
        </w:tc>
        <w:tc>
          <w:tcPr>
            <w:tcW w:w="2500" w:type="dxa"/>
            <w:vAlign w:val="center"/>
          </w:tcPr>
          <w:p>
            <w:pPr>
              <w:jc w:val="center"/>
              <w:rPr>
                <w:sz w:val="28"/>
                <w:szCs w:val="28"/>
              </w:rPr>
            </w:pPr>
            <w:r>
              <w:rPr>
                <w:rFonts w:hint="eastAsia"/>
                <w:sz w:val="21"/>
                <w:szCs w:val="21"/>
              </w:rPr>
              <w:t>印字模块2</w:t>
            </w:r>
          </w:p>
        </w:tc>
        <w:tc>
          <w:tcPr>
            <w:tcW w:w="1167" w:type="dxa"/>
            <w:vAlign w:val="center"/>
          </w:tcPr>
          <w:p>
            <w:pPr>
              <w:jc w:val="center"/>
              <w:rPr>
                <w:sz w:val="28"/>
                <w:szCs w:val="28"/>
              </w:rPr>
            </w:pPr>
            <w:r>
              <w:rPr>
                <w:rFonts w:hint="eastAsia"/>
                <w:sz w:val="21"/>
                <w:szCs w:val="21"/>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3</w:t>
            </w:r>
          </w:p>
        </w:tc>
        <w:tc>
          <w:tcPr>
            <w:tcW w:w="2500" w:type="dxa"/>
            <w:vAlign w:val="center"/>
          </w:tcPr>
          <w:p>
            <w:pPr>
              <w:jc w:val="center"/>
              <w:rPr>
                <w:sz w:val="28"/>
                <w:szCs w:val="28"/>
              </w:rPr>
            </w:pPr>
            <w:r>
              <w:rPr>
                <w:rFonts w:hint="eastAsia"/>
                <w:sz w:val="21"/>
                <w:szCs w:val="21"/>
              </w:rPr>
              <w:t>皮带输送机1模块</w:t>
            </w:r>
          </w:p>
        </w:tc>
        <w:tc>
          <w:tcPr>
            <w:tcW w:w="1167" w:type="dxa"/>
            <w:vAlign w:val="center"/>
          </w:tcPr>
          <w:p>
            <w:pPr>
              <w:jc w:val="center"/>
              <w:rPr>
                <w:sz w:val="28"/>
                <w:szCs w:val="28"/>
              </w:rPr>
            </w:pPr>
            <w:r>
              <w:rPr>
                <w:rFonts w:hint="eastAsia"/>
                <w:sz w:val="21"/>
                <w:szCs w:val="21"/>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4</w:t>
            </w:r>
          </w:p>
        </w:tc>
        <w:tc>
          <w:tcPr>
            <w:tcW w:w="2500" w:type="dxa"/>
            <w:vAlign w:val="center"/>
          </w:tcPr>
          <w:p>
            <w:pPr>
              <w:jc w:val="center"/>
              <w:rPr>
                <w:sz w:val="28"/>
                <w:szCs w:val="28"/>
              </w:rPr>
            </w:pPr>
            <w:r>
              <w:rPr>
                <w:rFonts w:hint="eastAsia"/>
                <w:sz w:val="21"/>
                <w:szCs w:val="21"/>
              </w:rPr>
              <w:t>称重模块</w:t>
            </w:r>
          </w:p>
        </w:tc>
        <w:tc>
          <w:tcPr>
            <w:tcW w:w="1167" w:type="dxa"/>
            <w:vAlign w:val="center"/>
          </w:tcPr>
          <w:p>
            <w:pPr>
              <w:jc w:val="center"/>
              <w:rPr>
                <w:sz w:val="28"/>
                <w:szCs w:val="28"/>
              </w:rPr>
            </w:pPr>
            <w:r>
              <w:rPr>
                <w:rFonts w:hint="eastAsia"/>
                <w:sz w:val="21"/>
                <w:szCs w:val="21"/>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5</w:t>
            </w:r>
          </w:p>
        </w:tc>
        <w:tc>
          <w:tcPr>
            <w:tcW w:w="2500" w:type="dxa"/>
            <w:vAlign w:val="center"/>
          </w:tcPr>
          <w:p>
            <w:pPr>
              <w:jc w:val="center"/>
              <w:rPr>
                <w:sz w:val="28"/>
                <w:szCs w:val="28"/>
              </w:rPr>
            </w:pPr>
            <w:r>
              <w:rPr>
                <w:rFonts w:hint="eastAsia"/>
                <w:sz w:val="21"/>
                <w:szCs w:val="21"/>
              </w:rPr>
              <w:t>杯体、杯盖供料仓模块</w:t>
            </w:r>
          </w:p>
        </w:tc>
        <w:tc>
          <w:tcPr>
            <w:tcW w:w="1167" w:type="dxa"/>
            <w:vAlign w:val="center"/>
          </w:tcPr>
          <w:p>
            <w:pPr>
              <w:jc w:val="center"/>
              <w:rPr>
                <w:sz w:val="28"/>
                <w:szCs w:val="28"/>
              </w:rPr>
            </w:pPr>
            <w:r>
              <w:rPr>
                <w:rFonts w:hint="eastAsia"/>
                <w:sz w:val="21"/>
                <w:szCs w:val="21"/>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6</w:t>
            </w:r>
          </w:p>
        </w:tc>
        <w:tc>
          <w:tcPr>
            <w:tcW w:w="2500" w:type="dxa"/>
            <w:vAlign w:val="center"/>
          </w:tcPr>
          <w:p>
            <w:pPr>
              <w:jc w:val="center"/>
              <w:rPr>
                <w:sz w:val="28"/>
                <w:szCs w:val="28"/>
              </w:rPr>
            </w:pPr>
            <w:r>
              <w:rPr>
                <w:rFonts w:hint="eastAsia"/>
                <w:sz w:val="21"/>
                <w:szCs w:val="21"/>
              </w:rPr>
              <w:t>翻转搬运手模块</w:t>
            </w:r>
          </w:p>
        </w:tc>
        <w:tc>
          <w:tcPr>
            <w:tcW w:w="1167" w:type="dxa"/>
            <w:vAlign w:val="center"/>
          </w:tcPr>
          <w:p>
            <w:pPr>
              <w:jc w:val="center"/>
              <w:rPr>
                <w:sz w:val="28"/>
                <w:szCs w:val="28"/>
              </w:rPr>
            </w:pPr>
            <w:r>
              <w:rPr>
                <w:rFonts w:hint="eastAsia"/>
                <w:sz w:val="21"/>
                <w:szCs w:val="21"/>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6" w:type="dxa"/>
            <w:gridSpan w:val="4"/>
            <w:vAlign w:val="center"/>
          </w:tcPr>
          <w:p>
            <w:pPr>
              <w:jc w:val="center"/>
              <w:rPr>
                <w:sz w:val="22"/>
                <w:szCs w:val="22"/>
              </w:rPr>
            </w:pPr>
            <w:r>
              <w:rPr>
                <w:sz w:val="22"/>
                <w:szCs w:val="22"/>
              </w:rPr>
              <w:t>合计</w:t>
            </w:r>
          </w:p>
        </w:tc>
        <w:tc>
          <w:tcPr>
            <w:tcW w:w="1923" w:type="dxa"/>
            <w:vAlign w:val="center"/>
          </w:tcPr>
          <w:p>
            <w:pPr>
              <w:jc w:val="center"/>
              <w:rPr>
                <w:sz w:val="22"/>
                <w:szCs w:val="22"/>
              </w:rPr>
            </w:pPr>
          </w:p>
        </w:tc>
      </w:tr>
    </w:tbl>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eastAsia="zh-CN"/>
        </w:rPr>
      </w:pPr>
      <w:r>
        <w:rPr>
          <w:rStyle w:val="17"/>
          <w:rFonts w:hint="eastAsia" w:ascii="仿宋_GB2312" w:hAnsi="仿宋_GB2312" w:eastAsia="仿宋_GB2312" w:cs="仿宋_GB2312"/>
          <w:sz w:val="28"/>
          <w:szCs w:val="28"/>
          <w:lang w:eastAsia="zh-CN"/>
        </w:rPr>
        <w:t>备注：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1、投标设备须满足参加世界技能大赛及全国选拔赛“机电一体化”赛项的参赛要求。课程上学生以“工作单元”形式综合体现，可以模块方式自由组合，形成多种模式，训练学生进行机械装调、电气管路连接、程序设计、传感器应用、计算机应用、检修排故、伺服、步进驱动控制等电气设备安装与维修专业技能训练，可以融入现有教学体系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2、签订合同后，供货前，采购人可以要求中标人提供样机，样机功能需与技术参数要求一致。</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lang w:val="en-US" w:eastAsia="zh-CN"/>
        </w:rPr>
        <w:t>电操作手训练系统需实现以下功能：</w:t>
      </w:r>
    </w:p>
    <w:p>
      <w:pPr>
        <w:keepNext w:val="0"/>
        <w:keepLines w:val="0"/>
        <w:pageBreakBefore w:val="0"/>
        <w:widowControl w:val="0"/>
        <w:kinsoku/>
        <w:wordWrap/>
        <w:overflowPunct/>
        <w:topLinePunct w:val="0"/>
        <w:bidi w:val="0"/>
        <w:snapToGrid/>
        <w:spacing w:line="400" w:lineRule="exact"/>
        <w:ind w:firstLine="482" w:firstLineChars="200"/>
        <w:contextualSpacing/>
        <w:textAlignment w:val="auto"/>
        <w:rPr>
          <w:rFonts w:hint="eastAsia" w:ascii="仿宋_GB2312" w:hAnsi="仿宋_GB2312" w:eastAsia="仿宋_GB2312" w:cs="仿宋_GB2312"/>
          <w:sz w:val="24"/>
          <w:szCs w:val="24"/>
        </w:rPr>
      </w:pPr>
      <w:r>
        <w:rPr>
          <w:rStyle w:val="17"/>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t>1、杯体、杯盖供料模块</w:t>
      </w:r>
      <w:r>
        <w:rPr>
          <w:rStyle w:val="17"/>
          <w:rFonts w:hint="eastAsia" w:ascii="仿宋_GB2312" w:hAnsi="仿宋_GB2312" w:eastAsia="仿宋_GB2312" w:cs="仿宋_GB2312"/>
          <w:sz w:val="24"/>
          <w:szCs w:val="24"/>
        </w:rPr>
        <w:t>（</w:t>
      </w:r>
      <w:r>
        <w:rPr>
          <w:rStyle w:val="17"/>
          <w:rFonts w:hint="eastAsia" w:ascii="仿宋_GB2312" w:hAnsi="仿宋_GB2312" w:eastAsia="仿宋_GB2312" w:cs="仿宋_GB2312"/>
          <w:sz w:val="24"/>
          <w:szCs w:val="24"/>
          <w:lang w:eastAsia="zh-CN"/>
        </w:rPr>
        <w:t>投标时</w:t>
      </w:r>
      <w:r>
        <w:rPr>
          <w:rStyle w:val="17"/>
          <w:rFonts w:hint="eastAsia" w:ascii="仿宋_GB2312" w:hAnsi="仿宋_GB2312" w:eastAsia="仿宋_GB2312" w:cs="仿宋_GB2312"/>
          <w:sz w:val="24"/>
          <w:szCs w:val="24"/>
        </w:rPr>
        <w:t>提供技术资料证明文件或实物相片）</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功能：模块可以分离迭放在料桶管道内的杯体或杯盖工件。由一个双作用气缸其逐个推出。</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结构组成：透明有机玻璃圆筒，型材基体，方圆型地脚盘，门式井架，推料舌块，柱型气缸，电磁阀模块、传感器、电气接口模块等组成。</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主题：分离，通过料仓的结构，可以对程序设计的简单和复杂主题进行讲授。迭放料仓模块内可使用不同的工件或盖子。</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技术数据：</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工作气压：0.4～0.6Mpa</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电源电压：24VDC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圆形工件尺寸：最大40mm</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外形尺寸：不低于200×90×350mm。</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培训内容：</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气动技术基础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传感器技术：电磁限位开关，光电传感器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管路连接和接线连接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PLC编程</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bidi w:val="0"/>
        <w:snapToGrid/>
        <w:spacing w:line="400" w:lineRule="exact"/>
        <w:ind w:firstLine="482" w:firstLineChars="200"/>
        <w:contextualSpacing/>
        <w:textAlignment w:val="auto"/>
        <w:rPr>
          <w:rFonts w:hint="eastAsia" w:ascii="仿宋_GB2312" w:hAnsi="仿宋_GB2312" w:eastAsia="仿宋_GB2312" w:cs="仿宋_GB2312"/>
          <w:sz w:val="24"/>
          <w:szCs w:val="24"/>
        </w:rPr>
      </w:pPr>
      <w:r>
        <w:rPr>
          <w:rStyle w:val="17"/>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t>2、摆动搬运手模块</w:t>
      </w:r>
      <w:r>
        <w:rPr>
          <w:rStyle w:val="17"/>
          <w:rFonts w:hint="eastAsia" w:ascii="仿宋_GB2312" w:hAnsi="仿宋_GB2312" w:eastAsia="仿宋_GB2312" w:cs="仿宋_GB2312"/>
          <w:sz w:val="24"/>
          <w:szCs w:val="24"/>
        </w:rPr>
        <w:t>（</w:t>
      </w:r>
      <w:r>
        <w:rPr>
          <w:rStyle w:val="17"/>
          <w:rFonts w:hint="eastAsia" w:ascii="仿宋_GB2312" w:hAnsi="仿宋_GB2312" w:eastAsia="仿宋_GB2312" w:cs="仿宋_GB2312"/>
          <w:sz w:val="24"/>
          <w:szCs w:val="24"/>
          <w:lang w:eastAsia="zh-CN"/>
        </w:rPr>
        <w:t>投标时</w:t>
      </w:r>
      <w:r>
        <w:rPr>
          <w:rStyle w:val="17"/>
          <w:rFonts w:hint="eastAsia" w:ascii="仿宋_GB2312" w:hAnsi="仿宋_GB2312" w:eastAsia="仿宋_GB2312" w:cs="仿宋_GB2312"/>
          <w:sz w:val="24"/>
          <w:szCs w:val="24"/>
        </w:rPr>
        <w:t>提供技术资料证明文件或实物相片）</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功能：以水平摆动方式，将工作在两点之间的工件进行搬运。</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模块结构组成：弧形夹爪，旋转气缸，滑块治具气缸，限位器、型材基体，方圆型地脚盘，气阀岛模块，传感器、电气接口模块等组成。</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主题：搬运及工作点位控制，由弧形夹爪夹紧工件，旋转气缸执行工件搬运，终端缓冲确保运动装置平缓达到终端位置。 </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技术数据：</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工作气压：0.4～0.6Mpa</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电源电压：24VDC</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圆形工件尺寸：最大40mm</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外形尺寸：不低于150×130×190mm</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培训内容：</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气动技术基础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传感器技术：电磁限位开关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管路连接和接线连接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理解控制回路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缓冲定位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PLC编程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调试运行调试运行</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3、皮带输送机模块</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功能：可以实现工件的传送。 </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模块结构组成：由直流减速电机，皮带，涨紧调节装置，带轮，同步带，型材机体，电机控制器、传感器、可调支架、电气接口模块等组成</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主题：双向传送工件，使用继电器切换及能耗制动控制</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技术数据：</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电源电压：24VDC</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最大工件宽度：40mm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有效行程：340mm</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电机参数：24V，60r/min</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外形尺寸：不低于350×40×120mm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光纤传感器</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培训内容：传送带控制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传感器技术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电气原理图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PLC编程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工件位置调试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调试运行</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bidi w:val="0"/>
        <w:snapToGrid/>
        <w:spacing w:line="400" w:lineRule="exact"/>
        <w:ind w:firstLine="482" w:firstLineChars="200"/>
        <w:contextualSpacing/>
        <w:textAlignment w:val="auto"/>
        <w:rPr>
          <w:rFonts w:hint="eastAsia" w:ascii="仿宋_GB2312" w:hAnsi="仿宋_GB2312" w:eastAsia="仿宋_GB2312" w:cs="仿宋_GB2312"/>
          <w:sz w:val="24"/>
          <w:szCs w:val="24"/>
          <w:lang w:eastAsia="zh-CN"/>
        </w:rPr>
      </w:pPr>
      <w:r>
        <w:rPr>
          <w:rStyle w:val="17"/>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t>4、印字模块</w:t>
      </w:r>
      <w:r>
        <w:rPr>
          <w:rStyle w:val="17"/>
          <w:rFonts w:hint="eastAsia" w:ascii="仿宋_GB2312" w:hAnsi="仿宋_GB2312" w:eastAsia="仿宋_GB2312" w:cs="仿宋_GB2312"/>
          <w:sz w:val="24"/>
          <w:szCs w:val="24"/>
        </w:rPr>
        <w:t>（</w:t>
      </w:r>
      <w:r>
        <w:rPr>
          <w:rStyle w:val="17"/>
          <w:rFonts w:hint="eastAsia" w:ascii="仿宋_GB2312" w:hAnsi="仿宋_GB2312" w:eastAsia="仿宋_GB2312" w:cs="仿宋_GB2312"/>
          <w:sz w:val="24"/>
          <w:szCs w:val="24"/>
          <w:lang w:eastAsia="zh-CN"/>
        </w:rPr>
        <w:t>投标时</w:t>
      </w:r>
      <w:r>
        <w:rPr>
          <w:rStyle w:val="17"/>
          <w:rFonts w:hint="eastAsia" w:ascii="仿宋_GB2312" w:hAnsi="仿宋_GB2312" w:eastAsia="仿宋_GB2312" w:cs="仿宋_GB2312"/>
          <w:sz w:val="24"/>
          <w:szCs w:val="24"/>
        </w:rPr>
        <w:t>提供技术资料证明文件或实物相片）</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功能：对工件属性、质量印字标记。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模块结构组成：由打标气缸、打标头、油墨盒、滑块气缸架、直线导轨、方圆型地脚盘、电磁传感器、调压阀、电磁阀组、电气接口模块等组成。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主题：压力控制，节拍控制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技术数据：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工作气压：0.4～0.6MPa；电源电压：24VDC；圆形工件尺寸：最大40mm；</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外形尺寸：350×300×500mm。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培训内容： 气动技术基础；传感器，电磁限位开关；直线导轨安装应用；管路连接和接线连接；理解控制回路；逻辑控制方法；PLC程序设计；压力控制；调试运行。</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5、称重模块</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功能：可以计量工件重量。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模块结构组成：由电阻应变片式重量传感器、转换电路板、电气界面、立柱、地脚链接支架、电气接口等组成。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技术数据：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电源电压：24VDC；外形尺寸：130×90×190mm；称重范围：0～200g；分辨力（灵敏度）：1g。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培训内容： 重量校准；模拟量采集及转换；工件重量称量与检测控制；系统调试运行。</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Style w:val="17"/>
          <w:rFonts w:hint="eastAsia" w:ascii="仿宋_GB2312" w:hAnsi="仿宋_GB2312" w:eastAsia="仿宋_GB2312" w:cs="仿宋_GB2312"/>
          <w:b w:val="0"/>
          <w:sz w:val="24"/>
          <w:szCs w:val="24"/>
        </w:rPr>
      </w:pPr>
      <w:r>
        <w:rPr>
          <w:rFonts w:hint="eastAsia" w:ascii="仿宋_GB2312" w:hAnsi="仿宋_GB2312" w:eastAsia="仿宋_GB2312" w:cs="仿宋_GB2312"/>
          <w:sz w:val="24"/>
          <w:szCs w:val="24"/>
        </w:rPr>
        <w:t>6、翻转搬运手模块</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功能：可以将工件翻转180°，再置于原位。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模块结构组成：由气动平行夹，180°旋转气缸，滑块治具气缸，弧形夹爪，型材基体，方圆型地脚盘，电磁阀模块，传感器、电气接口模块等组成。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主题：工件翻转、工件清空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由弧形夹爪夹紧工件，滑块治具气缸负责工件提升，旋转气缸执行工件翻转。根据要求也可对工件清空。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技术数据：</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工作气压：0.4～0.6MPa；电源电压：24VDC；圆形工件尺寸：最大40mm；</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外形尺寸：180×120×280mm。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培训内容：气动技术基础；电磁限位开关，传感器；管路连接和接线连接；理解控制回路；PLC程序设计；调试运行。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8.8</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10日内完成供货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25</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25</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left="0" w:leftChars="0" w:firstLine="0" w:firstLineChars="0"/>
        <w:rPr>
          <w:lang w:val="zh-TW"/>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DFSongGB Std W3">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841A53"/>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0C6AE2"/>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9906D0"/>
    <w:rsid w:val="2E1D76FC"/>
    <w:rsid w:val="2E397856"/>
    <w:rsid w:val="2E970D30"/>
    <w:rsid w:val="2F0A4CB7"/>
    <w:rsid w:val="2F473DCF"/>
    <w:rsid w:val="2F5C448C"/>
    <w:rsid w:val="2F8F35AF"/>
    <w:rsid w:val="2FC02E6F"/>
    <w:rsid w:val="2FC87B25"/>
    <w:rsid w:val="300632AC"/>
    <w:rsid w:val="306E6642"/>
    <w:rsid w:val="30B17A2A"/>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28234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AF68B3"/>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0EA415A"/>
    <w:rsid w:val="710F6F32"/>
    <w:rsid w:val="71512C49"/>
    <w:rsid w:val="71661C44"/>
    <w:rsid w:val="71733A23"/>
    <w:rsid w:val="717E223A"/>
    <w:rsid w:val="71B1120F"/>
    <w:rsid w:val="71B175F3"/>
    <w:rsid w:val="71E2287C"/>
    <w:rsid w:val="71EE3A4C"/>
    <w:rsid w:val="71F54C9C"/>
    <w:rsid w:val="722315D5"/>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 w:type="paragraph" w:customStyle="1" w:styleId="30">
    <w:name w:val="Default"/>
    <w:uiPriority w:val="0"/>
    <w:pPr>
      <w:widowControl w:val="0"/>
      <w:autoSpaceDE w:val="0"/>
      <w:autoSpaceDN w:val="0"/>
      <w:adjustRightInd w:val="0"/>
    </w:pPr>
    <w:rPr>
      <w:rFonts w:ascii="DFSongGB Std W3" w:hAnsi="Times New Roman" w:eastAsia="DFSongGB Std W3" w:cs="DFSongGB Std W3"/>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1</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2020-11-12T00:34:00Z</cp:lastPrinted>
  <dcterms:modified xsi:type="dcterms:W3CDTF">2020-12-01T10:27:35Z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