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文件</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115</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eastAsia="zh-CN"/>
        </w:rPr>
        <w:t>气动肌腱训练系统</w:t>
      </w:r>
      <w:r>
        <w:rPr>
          <w:rFonts w:hint="eastAsia" w:ascii="楷体_GB2312" w:hAnsi="楷体_GB2312" w:eastAsia="楷体_GB2312" w:cs="楷体_GB2312"/>
          <w:b/>
          <w:bCs/>
          <w:color w:val="000000"/>
          <w:sz w:val="36"/>
          <w:szCs w:val="36"/>
          <w:u w:val="single"/>
          <w:lang w:val="en-US" w:eastAsia="zh-CN"/>
        </w:rPr>
        <w:t>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气动肌腱训练系统项目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w:t>
            </w:r>
          </w:p>
        </w:tc>
        <w:tc>
          <w:tcPr>
            <w:tcW w:w="2500" w:type="dxa"/>
            <w:vAlign w:val="center"/>
          </w:tcPr>
          <w:p>
            <w:pPr>
              <w:jc w:val="center"/>
              <w:rPr>
                <w:sz w:val="22"/>
                <w:szCs w:val="22"/>
              </w:rPr>
            </w:pPr>
            <w:r>
              <w:rPr>
                <w:rFonts w:hint="eastAsia"/>
              </w:rPr>
              <w:t>气动肌腱工作单元</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2</w:t>
            </w:r>
          </w:p>
        </w:tc>
        <w:tc>
          <w:tcPr>
            <w:tcW w:w="2500" w:type="dxa"/>
            <w:vAlign w:val="center"/>
          </w:tcPr>
          <w:p>
            <w:pPr>
              <w:jc w:val="center"/>
              <w:rPr>
                <w:sz w:val="22"/>
                <w:szCs w:val="22"/>
              </w:rPr>
            </w:pPr>
            <w:r>
              <w:rPr>
                <w:rFonts w:hint="eastAsia"/>
              </w:rPr>
              <w:t>MPS小车</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3</w:t>
            </w:r>
          </w:p>
        </w:tc>
        <w:tc>
          <w:tcPr>
            <w:tcW w:w="2500" w:type="dxa"/>
            <w:vAlign w:val="center"/>
          </w:tcPr>
          <w:p>
            <w:pPr>
              <w:jc w:val="center"/>
              <w:rPr>
                <w:sz w:val="22"/>
                <w:szCs w:val="22"/>
              </w:rPr>
            </w:pPr>
            <w:r>
              <w:rPr>
                <w:rFonts w:hint="eastAsia"/>
              </w:rPr>
              <w:t>控制面板</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4</w:t>
            </w:r>
          </w:p>
        </w:tc>
        <w:tc>
          <w:tcPr>
            <w:tcW w:w="2500" w:type="dxa"/>
            <w:vAlign w:val="center"/>
          </w:tcPr>
          <w:p>
            <w:pPr>
              <w:jc w:val="center"/>
              <w:rPr>
                <w:sz w:val="22"/>
                <w:szCs w:val="22"/>
              </w:rPr>
            </w:pPr>
            <w:r>
              <w:rPr>
                <w:rFonts w:hint="eastAsia"/>
              </w:rPr>
              <w:t>PLC模块</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5</w:t>
            </w:r>
          </w:p>
        </w:tc>
        <w:tc>
          <w:tcPr>
            <w:tcW w:w="2500" w:type="dxa"/>
            <w:vAlign w:val="center"/>
          </w:tcPr>
          <w:p>
            <w:pPr>
              <w:jc w:val="center"/>
              <w:rPr>
                <w:sz w:val="22"/>
                <w:szCs w:val="22"/>
              </w:rPr>
            </w:pPr>
            <w:r>
              <w:rPr>
                <w:rFonts w:hint="eastAsia"/>
              </w:rPr>
              <w:t>数字量正交线</w:t>
            </w:r>
          </w:p>
        </w:tc>
        <w:tc>
          <w:tcPr>
            <w:tcW w:w="1167" w:type="dxa"/>
            <w:vAlign w:val="center"/>
          </w:tcPr>
          <w:p>
            <w:pPr>
              <w:jc w:val="center"/>
              <w:rPr>
                <w:sz w:val="22"/>
                <w:szCs w:val="22"/>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6</w:t>
            </w:r>
          </w:p>
        </w:tc>
        <w:tc>
          <w:tcPr>
            <w:tcW w:w="2500" w:type="dxa"/>
            <w:vAlign w:val="center"/>
          </w:tcPr>
          <w:p>
            <w:pPr>
              <w:jc w:val="center"/>
              <w:rPr>
                <w:sz w:val="22"/>
                <w:szCs w:val="22"/>
              </w:rPr>
            </w:pPr>
            <w:r>
              <w:rPr>
                <w:rFonts w:hint="eastAsia"/>
              </w:rPr>
              <w:t>模拟量正交线</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7</w:t>
            </w:r>
          </w:p>
        </w:tc>
        <w:tc>
          <w:tcPr>
            <w:tcW w:w="2500" w:type="dxa"/>
            <w:vAlign w:val="center"/>
          </w:tcPr>
          <w:p>
            <w:pPr>
              <w:jc w:val="center"/>
              <w:rPr>
                <w:sz w:val="22"/>
                <w:szCs w:val="22"/>
              </w:rPr>
            </w:pPr>
            <w:r>
              <w:rPr>
                <w:rFonts w:hint="eastAsia"/>
              </w:rPr>
              <w:t>稳压电源</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8</w:t>
            </w:r>
          </w:p>
        </w:tc>
        <w:tc>
          <w:tcPr>
            <w:tcW w:w="2500" w:type="dxa"/>
            <w:vAlign w:val="center"/>
          </w:tcPr>
          <w:p>
            <w:pPr>
              <w:jc w:val="center"/>
              <w:rPr>
                <w:sz w:val="22"/>
                <w:szCs w:val="22"/>
              </w:rPr>
            </w:pPr>
            <w:r>
              <w:rPr>
                <w:rFonts w:hint="eastAsia"/>
              </w:rPr>
              <w:t>安装调试</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9</w:t>
            </w:r>
          </w:p>
        </w:tc>
        <w:tc>
          <w:tcPr>
            <w:tcW w:w="2500" w:type="dxa"/>
            <w:vAlign w:val="center"/>
          </w:tcPr>
          <w:p>
            <w:pPr>
              <w:jc w:val="center"/>
              <w:rPr>
                <w:sz w:val="22"/>
                <w:szCs w:val="22"/>
              </w:rPr>
            </w:pPr>
            <w:r>
              <w:rPr>
                <w:rFonts w:hint="eastAsia"/>
              </w:rPr>
              <w:t>微型I/O端子,垂直</w:t>
            </w:r>
          </w:p>
        </w:tc>
        <w:tc>
          <w:tcPr>
            <w:tcW w:w="1167" w:type="dxa"/>
            <w:vAlign w:val="center"/>
          </w:tcPr>
          <w:p>
            <w:pPr>
              <w:jc w:val="center"/>
              <w:rPr>
                <w:sz w:val="22"/>
                <w:szCs w:val="22"/>
              </w:rPr>
            </w:pPr>
            <w:r>
              <w:rPr>
                <w:rFonts w:hint="eastAsia"/>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10</w:t>
            </w:r>
          </w:p>
        </w:tc>
        <w:tc>
          <w:tcPr>
            <w:tcW w:w="2500" w:type="dxa"/>
            <w:vAlign w:val="center"/>
          </w:tcPr>
          <w:p>
            <w:pPr>
              <w:jc w:val="center"/>
              <w:rPr>
                <w:sz w:val="22"/>
                <w:szCs w:val="22"/>
              </w:rPr>
            </w:pPr>
            <w:r>
              <w:rPr>
                <w:rFonts w:hint="eastAsia"/>
              </w:rPr>
              <w:t>微型I/O端子,水平</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11</w:t>
            </w:r>
          </w:p>
        </w:tc>
        <w:tc>
          <w:tcPr>
            <w:tcW w:w="2500" w:type="dxa"/>
            <w:vAlign w:val="center"/>
          </w:tcPr>
          <w:p>
            <w:pPr>
              <w:jc w:val="center"/>
              <w:rPr>
                <w:sz w:val="22"/>
                <w:szCs w:val="22"/>
              </w:rPr>
            </w:pPr>
            <w:r>
              <w:rPr>
                <w:rFonts w:hint="eastAsia"/>
              </w:rPr>
              <w:t>数字量单端线缆</w:t>
            </w:r>
          </w:p>
        </w:tc>
        <w:tc>
          <w:tcPr>
            <w:tcW w:w="1167" w:type="dxa"/>
            <w:vAlign w:val="center"/>
          </w:tcPr>
          <w:p>
            <w:pPr>
              <w:jc w:val="center"/>
              <w:rPr>
                <w:sz w:val="22"/>
                <w:szCs w:val="22"/>
              </w:rPr>
            </w:pPr>
            <w:r>
              <w:rPr>
                <w:rFonts w:hint="eastAsia"/>
              </w:rPr>
              <w:t>3</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12</w:t>
            </w:r>
          </w:p>
        </w:tc>
        <w:tc>
          <w:tcPr>
            <w:tcW w:w="2500" w:type="dxa"/>
            <w:vAlign w:val="center"/>
          </w:tcPr>
          <w:p>
            <w:pPr>
              <w:jc w:val="center"/>
              <w:rPr>
                <w:sz w:val="22"/>
                <w:szCs w:val="22"/>
              </w:rPr>
            </w:pPr>
            <w:r>
              <w:rPr>
                <w:rFonts w:hint="eastAsia"/>
              </w:rPr>
              <w:t>模拟量单端线缆</w:t>
            </w:r>
          </w:p>
        </w:tc>
        <w:tc>
          <w:tcPr>
            <w:tcW w:w="1167" w:type="dxa"/>
            <w:vAlign w:val="center"/>
          </w:tcPr>
          <w:p>
            <w:pPr>
              <w:jc w:val="center"/>
              <w:rPr>
                <w:sz w:val="22"/>
                <w:szCs w:val="22"/>
              </w:rPr>
            </w:pPr>
            <w:r>
              <w:rPr>
                <w:rFonts w:hint="eastAsia"/>
              </w:rPr>
              <w:t>3</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rFonts w:hint="eastAsia"/>
              </w:rPr>
              <w:t>13</w:t>
            </w:r>
          </w:p>
        </w:tc>
        <w:tc>
          <w:tcPr>
            <w:tcW w:w="2500" w:type="dxa"/>
            <w:vAlign w:val="center"/>
          </w:tcPr>
          <w:p>
            <w:pPr>
              <w:jc w:val="center"/>
              <w:rPr>
                <w:sz w:val="22"/>
                <w:szCs w:val="22"/>
              </w:rPr>
            </w:pPr>
            <w:r>
              <w:rPr>
                <w:rFonts w:hint="eastAsia"/>
              </w:rPr>
              <w:t>模拟量I/O端子</w:t>
            </w:r>
          </w:p>
        </w:tc>
        <w:tc>
          <w:tcPr>
            <w:tcW w:w="1167" w:type="dxa"/>
            <w:vAlign w:val="center"/>
          </w:tcPr>
          <w:p>
            <w:pPr>
              <w:jc w:val="center"/>
              <w:rPr>
                <w:sz w:val="22"/>
                <w:szCs w:val="22"/>
              </w:rPr>
            </w:pPr>
            <w:r>
              <w:rPr>
                <w:rFonts w:hint="eastAsia"/>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气动肌腱训练系统需实现以下功能：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sz w:val="28"/>
          <w:szCs w:val="28"/>
        </w:rPr>
        <w:t>1、气动肌腱压紧工作单元能完成下列加工功能：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气动肌腱压紧工作单元将工件压至机壳中。旋转/线性执行器（输送装置）将机壳和安装在其上面的工件一起移到加压工位。气动肌腱执行压紧操作。旋转/线性执行器之后将把成品工件传输到传送位置。执行件器的操作臂上装有光学漫反射传感器，用于检测工件。通过模拟量压力时加的传感器监测和显示压紧时施加的压力。压入速度和深度可以采用手动的方式（通过节流阀和调压器）和电子的方式（通过定比调压器）调整。要求提供技术资料证明文件或实物相片。</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（1）机械:</w:t>
      </w:r>
      <w:r>
        <w:rPr>
          <w:rFonts w:hint="eastAsia" w:ascii="仿宋_GB2312" w:hAnsi="仿宋_GB2312" w:eastAsia="仿宋_GB2312" w:cs="仿宋_GB2312"/>
          <w:color w:val="000000"/>
          <w:sz w:val="28"/>
          <w:szCs w:val="28"/>
          <w:shd w:val="clear" w:color="auto" w:fill="FFFFFF"/>
        </w:rPr>
        <w:t>工作站的机械安装</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（2）气动:</w:t>
      </w:r>
      <w:r>
        <w:rPr>
          <w:rFonts w:hint="eastAsia" w:ascii="仿宋_GB2312" w:hAnsi="仿宋_GB2312" w:eastAsia="仿宋_GB2312" w:cs="仿宋_GB2312"/>
          <w:color w:val="000000"/>
          <w:sz w:val="28"/>
          <w:szCs w:val="28"/>
          <w:shd w:val="clear" w:color="auto" w:fill="FFFFFF"/>
        </w:rPr>
        <w:t>线性滑槽单元的应用，半旋转驱动器的应用，调压器的应用，气动肌腱的应用</w:t>
      </w: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b w:val="0"/>
          <w:sz w:val="28"/>
          <w:szCs w:val="28"/>
        </w:rPr>
        <w:br w:type="textWrapping"/>
      </w:r>
      <w:r>
        <w:rPr>
          <w:rStyle w:val="17"/>
          <w:rFonts w:hint="eastAsia" w:ascii="仿宋_GB2312" w:hAnsi="仿宋_GB2312" w:eastAsia="仿宋_GB2312" w:cs="仿宋_GB2312"/>
          <w:b w:val="0"/>
          <w:sz w:val="28"/>
          <w:szCs w:val="28"/>
        </w:rPr>
        <w:t>（3）电气:</w:t>
      </w:r>
      <w:r>
        <w:rPr>
          <w:rFonts w:hint="eastAsia" w:ascii="仿宋_GB2312" w:hAnsi="仿宋_GB2312" w:eastAsia="仿宋_GB2312" w:cs="仿宋_GB2312"/>
          <w:color w:val="000000"/>
          <w:sz w:val="28"/>
          <w:szCs w:val="28"/>
          <w:shd w:val="clear" w:color="auto" w:fill="FFFFFF"/>
        </w:rPr>
        <w:t>电气部件的正确接线</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（4）传感器:</w:t>
      </w:r>
      <w:r>
        <w:rPr>
          <w:rFonts w:hint="eastAsia" w:ascii="仿宋_GB2312" w:hAnsi="仿宋_GB2312" w:eastAsia="仿宋_GB2312" w:cs="仿宋_GB2312"/>
          <w:color w:val="000000"/>
          <w:sz w:val="28"/>
          <w:szCs w:val="28"/>
          <w:shd w:val="clear" w:color="auto" w:fill="FFFFFF"/>
        </w:rPr>
        <w:t>终端位置传感器和光学漫反射传感器的应用</w:t>
      </w:r>
      <w:r>
        <w:rPr>
          <w:rStyle w:val="17"/>
          <w:rFonts w:hint="eastAsia" w:ascii="仿宋_GB2312" w:hAnsi="仿宋_GB2312" w:eastAsia="仿宋_GB2312" w:cs="仿宋_GB2312"/>
          <w:b w:val="0"/>
          <w:sz w:val="28"/>
          <w:szCs w:val="28"/>
        </w:rPr>
        <w:t>、</w:t>
      </w:r>
      <w:r>
        <w:rPr>
          <w:rFonts w:hint="eastAsia" w:ascii="仿宋_GB2312" w:hAnsi="仿宋_GB2312" w:eastAsia="仿宋_GB2312" w:cs="仿宋_GB2312"/>
          <w:color w:val="000000"/>
          <w:sz w:val="28"/>
          <w:szCs w:val="28"/>
          <w:shd w:val="clear" w:color="auto" w:fill="FFFFFF"/>
        </w:rPr>
        <w:t>模拟传感器的操作模式和应用（以模拟压力传感器为例）</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（5）PLC编程及应用，</w:t>
      </w:r>
      <w:r>
        <w:rPr>
          <w:rFonts w:hint="eastAsia" w:ascii="仿宋_GB2312" w:hAnsi="仿宋_GB2312" w:eastAsia="仿宋_GB2312" w:cs="仿宋_GB2312"/>
          <w:color w:val="000000"/>
          <w:sz w:val="28"/>
          <w:szCs w:val="28"/>
          <w:shd w:val="clear" w:color="auto" w:fill="FFFFFF"/>
        </w:rPr>
        <w:t>模拟信号处理</w:t>
      </w:r>
      <w:r>
        <w:rPr>
          <w:rStyle w:val="17"/>
          <w:rFonts w:hint="eastAsia" w:ascii="仿宋_GB2312" w:hAnsi="仿宋_GB2312" w:eastAsia="仿宋_GB2312" w:cs="仿宋_GB2312"/>
          <w:b w:val="0"/>
          <w:sz w:val="28"/>
          <w:szCs w:val="28"/>
        </w:rPr>
        <w:t>；（6）系统调试:完整压紧顺序的调试。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3、基本技术参数：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（1）工作压力≥600KPa (6bar)；（2）稳压电源24VDC；</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（3）至少</w:t>
      </w:r>
      <w:r>
        <w:rPr>
          <w:rFonts w:hint="eastAsia" w:ascii="仿宋_GB2312" w:hAnsi="仿宋_GB2312" w:eastAsia="仿宋_GB2312" w:cs="仿宋_GB2312"/>
          <w:color w:val="000000"/>
          <w:sz w:val="28"/>
          <w:szCs w:val="28"/>
          <w:shd w:val="clear" w:color="auto" w:fill="FFFFFF"/>
        </w:rPr>
        <w:t>8 个数字输入（可以另外使用1个模拟输入）</w:t>
      </w:r>
      <w:r>
        <w:rPr>
          <w:rStyle w:val="17"/>
          <w:rFonts w:hint="eastAsia" w:ascii="仿宋_GB2312" w:hAnsi="仿宋_GB2312" w:eastAsia="仿宋_GB2312" w:cs="仿宋_GB2312"/>
          <w:b w:val="0"/>
          <w:sz w:val="28"/>
          <w:szCs w:val="28"/>
        </w:rPr>
        <w:t>、</w:t>
      </w:r>
      <w:r>
        <w:rPr>
          <w:rFonts w:hint="eastAsia" w:ascii="仿宋_GB2312" w:hAnsi="仿宋_GB2312" w:eastAsia="仿宋_GB2312" w:cs="仿宋_GB2312"/>
          <w:color w:val="000000"/>
          <w:sz w:val="28"/>
          <w:szCs w:val="28"/>
          <w:shd w:val="clear" w:color="auto" w:fill="FFFFFF"/>
        </w:rPr>
        <w:t>7个数字输出（可以另外使用1个模拟输出）</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（4）铝合金板材厚度不小于32mm</w:t>
      </w:r>
      <w:r>
        <w:rPr>
          <w:rFonts w:hint="eastAsia" w:ascii="仿宋_GB2312" w:hAnsi="仿宋_GB2312" w:eastAsia="仿宋_GB2312" w:cs="仿宋_GB2312"/>
          <w:color w:val="000000"/>
          <w:sz w:val="28"/>
          <w:szCs w:val="28"/>
        </w:rPr>
        <w:t>，板材尺寸不小于（长x宽x高）700mmx350mmx32mm，板的两面都有安装槽，格栅间隔不小于50mm，槽兼容ITEM型材设备，用于安装工作单元的所有部件</w:t>
      </w:r>
      <w:r>
        <w:rPr>
          <w:rStyle w:val="17"/>
          <w:rFonts w:hint="eastAsia" w:ascii="仿宋_GB2312" w:hAnsi="仿宋_GB2312" w:eastAsia="仿宋_GB2312" w:cs="仿宋_GB2312"/>
          <w:b w:val="0"/>
          <w:sz w:val="28"/>
          <w:szCs w:val="28"/>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4、气动肌腱压紧工作单元包括下列主要组成部分：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shd w:val="clear" w:color="auto" w:fill="FFFFFF"/>
        </w:rPr>
      </w:pPr>
      <w:r>
        <w:rPr>
          <w:rStyle w:val="17"/>
          <w:rFonts w:hint="eastAsia" w:ascii="仿宋_GB2312" w:hAnsi="仿宋_GB2312" w:eastAsia="仿宋_GB2312" w:cs="仿宋_GB2312"/>
          <w:b w:val="0"/>
          <w:sz w:val="28"/>
          <w:szCs w:val="28"/>
        </w:rPr>
        <w:t>（1）摆动/直线转移模块：</w:t>
      </w:r>
      <w:r>
        <w:rPr>
          <w:rFonts w:hint="eastAsia" w:ascii="仿宋_GB2312" w:hAnsi="仿宋_GB2312" w:eastAsia="仿宋_GB2312" w:cs="仿宋_GB2312"/>
          <w:color w:val="000000"/>
          <w:sz w:val="28"/>
          <w:szCs w:val="28"/>
          <w:shd w:val="clear" w:color="auto" w:fill="FFFFFF"/>
        </w:rPr>
        <w:t>包括一个带末端停止可调的精准SLG直线滑动单元。通过 DRQD 半旋转驱动器实现旋转移动。可进行90°和180°的摆动。所有末端位置都可以通过传感器感应。</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color w:val="000000"/>
          <w:sz w:val="28"/>
          <w:szCs w:val="28"/>
          <w:shd w:val="clear" w:color="auto" w:fill="FFFFFF"/>
        </w:rPr>
      </w:pPr>
      <w:r>
        <w:rPr>
          <w:rStyle w:val="17"/>
          <w:rFonts w:hint="eastAsia" w:ascii="仿宋_GB2312" w:hAnsi="仿宋_GB2312" w:eastAsia="仿宋_GB2312" w:cs="仿宋_GB2312"/>
          <w:b w:val="0"/>
          <w:sz w:val="28"/>
          <w:szCs w:val="28"/>
        </w:rPr>
        <w:t>（2）肌腱推压模块：</w:t>
      </w:r>
      <w:r>
        <w:rPr>
          <w:rFonts w:hint="eastAsia" w:ascii="仿宋_GB2312" w:hAnsi="仿宋_GB2312" w:eastAsia="仿宋_GB2312" w:cs="仿宋_GB2312"/>
          <w:color w:val="000000"/>
          <w:sz w:val="28"/>
          <w:szCs w:val="28"/>
          <w:shd w:val="clear" w:color="auto" w:fill="FFFFFF"/>
        </w:rPr>
        <w:t>此模块用于将配合安装的工件压入机壳。压紧过程通过气动肌腱执行。此模块包含一个手动调压阀，用来调整压入深度。压入速度通过控制供给气流进行调整。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5、气动肌腱压紧工作单元应具备的扩展控制方式和模块间互换功能：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（1）扩展控制方式：计算机通过模拟仿真软件与接口盒进行连接，并通过接口协议进行控制。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6、配套操作开关板：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 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8、配套稳压电源: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Style w:val="17"/>
          <w:rFonts w:hint="eastAsia" w:ascii="仿宋_GB2312" w:hAnsi="仿宋_GB2312" w:eastAsia="仿宋_GB2312" w:cs="仿宋_GB2312"/>
          <w:sz w:val="28"/>
          <w:szCs w:val="28"/>
          <w:lang w:val="en-US"/>
        </w:rPr>
      </w:pPr>
      <w:r>
        <w:rPr>
          <w:rStyle w:val="17"/>
          <w:rFonts w:hint="eastAsia" w:ascii="仿宋_GB2312" w:hAnsi="仿宋_GB2312" w:eastAsia="仿宋_GB2312" w:cs="仿宋_GB2312"/>
          <w:sz w:val="28"/>
          <w:szCs w:val="28"/>
          <w:lang w:val="en-US" w:eastAsia="zh-CN"/>
        </w:rPr>
        <w:t>9</w:t>
      </w:r>
      <w:r>
        <w:rPr>
          <w:rStyle w:val="17"/>
          <w:rFonts w:hint="eastAsia" w:ascii="仿宋_GB2312" w:hAnsi="仿宋_GB2312" w:eastAsia="仿宋_GB2312" w:cs="仿宋_GB2312"/>
          <w:sz w:val="28"/>
          <w:szCs w:val="28"/>
          <w:lang w:val="en-US"/>
        </w:rPr>
        <w:t>、配套控制模块1512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集成市场通用编程控制器：19"模块模拟板，带2xSysLink接口，用于工作单元和控制面板，各有8个数字量输入和8个数字量输出；1x Sub-D15针接口，带4个模拟量输入和2个模拟量输出；急停跳线，用于连接安全回路以断开8个数字量输出，可以在实验台或在工作站上使用，稳定、粉末涂层、薄钢板支架系统，可以使用19"模拟模块进行扩展。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32x数字输入端（24VDC）；32x数字输出端（24VDC/0.5A）；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2x模拟量输出端，2xU/I，16位分辨率</w:t>
      </w:r>
      <w:r>
        <w:rPr>
          <w:rFonts w:hint="eastAsia" w:ascii="仿宋_GB2312" w:hAnsi="仿宋_GB2312" w:eastAsia="仿宋_GB2312" w:cs="仿宋_GB2312"/>
          <w:sz w:val="28"/>
          <w:szCs w:val="28"/>
          <w:lang w:eastAsia="zh-CN"/>
        </w:rPr>
        <w:t>。</w:t>
      </w:r>
    </w:p>
    <w:p>
      <w:pPr>
        <w:pStyle w:val="3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本项目包含一套训练配件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1、1*模拟量I/O端子</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模拟信号通过一个带15针D-Sub插口的特殊模拟端子获取。该端子用于连接4个模拟输入端和2个模拟输出端，所有端口与共同的模拟量终端接口相连。接触通过弹簧端子实现。为了方便地检查状态和系统化故障查询，安装了输入和输出端子LED。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24V/0V端子；电流输入端：4；电流输出端：2；电压输入端：4；电压输出端：2；</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弹簧端子：0.2–1.5mm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尺寸（高x深）：68x77mm。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2、2*微型I/O端子，垂直</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 该端子用于连接4个数字量输入/输出端，2个模拟量输入端和1个模拟量输出端；所有端口都与一个共同插口相连。接触通过弹簧端子实现。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15针Sub-D插口，90°垂直于电路板安装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3、1*微型I/O端子，水平</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1个模拟量输出端；所有端口都与一个共同插口相连。接触通过弹簧端子实现。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w:t>
      </w:r>
      <w:r>
        <w:rPr>
          <w:rFonts w:hint="eastAsia" w:ascii="仿宋_GB2312" w:hAnsi="仿宋_GB2312" w:eastAsia="仿宋_GB2312" w:cs="仿宋_GB2312"/>
          <w:color w:val="000000"/>
          <w:sz w:val="28"/>
          <w:szCs w:val="28"/>
          <w:lang w:val="en-US" w:eastAsia="zh-CN"/>
        </w:rPr>
        <w:t>HD</w:t>
      </w:r>
      <w:r>
        <w:rPr>
          <w:rFonts w:hint="eastAsia" w:ascii="仿宋_GB2312" w:hAnsi="仿宋_GB2312" w:eastAsia="仿宋_GB2312" w:cs="仿宋_GB2312"/>
          <w:color w:val="000000"/>
          <w:sz w:val="28"/>
          <w:szCs w:val="28"/>
          <w:shd w:val="clear" w:color="auto" w:fill="FFFFFF"/>
        </w:rPr>
        <w:t>插口，水平安装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4、1*数字量单端线缆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5、2*模拟量单端线缆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19.7</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bookmarkStart w:id="0" w:name="_GoBack"/>
      <w:bookmarkEnd w:id="0"/>
      <w:r>
        <w:rPr>
          <w:rFonts w:hint="eastAsia" w:ascii="仿宋_GB2312" w:eastAsia="仿宋_GB2312"/>
          <w:sz w:val="28"/>
          <w:szCs w:val="28"/>
        </w:rPr>
        <w:t>1. 谈判响应文件递交地点:</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MetaPlusLF-Regular">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DB5D57"/>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6A7147"/>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2F5377"/>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ED80531"/>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1C75E9A"/>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4800CD"/>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8B2E11"/>
    <w:rsid w:val="77A2667C"/>
    <w:rsid w:val="77C66710"/>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323951"/>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styleId="30">
    <w:name w:val="List Paragraph"/>
    <w:basedOn w:val="1"/>
    <w:qFormat/>
    <w:uiPriority w:val="34"/>
    <w:pPr>
      <w:ind w:firstLine="420" w:firstLineChars="200"/>
    </w:pPr>
    <w:rPr>
      <w:rFonts w:ascii="MetaPlusLF-Regular" w:hAnsi="MetaPlusLF-Regula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7</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2020-11-30T06:23:00Z</cp:lastPrinted>
  <dcterms:modified xsi:type="dcterms:W3CDTF">2020-12-01T09:49:21Z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