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竞争性谈判</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院总编：2020-</w:t>
      </w:r>
      <w:r>
        <w:rPr>
          <w:rFonts w:hint="eastAsia" w:ascii="楷体_GB2312" w:hAnsi="楷体_GB2312" w:eastAsia="楷体_GB2312" w:cs="楷体_GB2312"/>
          <w:b/>
          <w:bCs/>
          <w:color w:val="000000"/>
          <w:sz w:val="36"/>
          <w:szCs w:val="36"/>
          <w:u w:val="single"/>
          <w:lang w:val="en-US" w:eastAsia="zh-CN"/>
        </w:rPr>
        <w:t>116</w:t>
      </w:r>
      <w:r>
        <w:rPr>
          <w:rFonts w:hint="eastAsia" w:ascii="楷体_GB2312" w:hAnsi="楷体_GB2312" w:eastAsia="楷体_GB2312" w:cs="楷体_GB2312"/>
          <w:b/>
          <w:bCs/>
          <w:color w:val="000000"/>
          <w:sz w:val="36"/>
          <w:szCs w:val="36"/>
          <w:u w:val="single"/>
        </w:rPr>
        <w:t>#</w:t>
      </w:r>
    </w:p>
    <w:p>
      <w:pPr>
        <w:ind w:left="1843" w:hanging="1843" w:hangingChars="510"/>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val="zh-TW" w:eastAsia="zh-CN"/>
        </w:rPr>
        <w:t>提取安装系统</w:t>
      </w:r>
      <w:r>
        <w:rPr>
          <w:rFonts w:hint="eastAsia" w:ascii="楷体_GB2312" w:hAnsi="楷体_GB2312" w:eastAsia="楷体_GB2312" w:cs="楷体_GB2312"/>
          <w:b/>
          <w:bCs/>
          <w:color w:val="000000"/>
          <w:sz w:val="36"/>
          <w:szCs w:val="36"/>
          <w:u w:val="single"/>
          <w:lang w:val="en-US" w:eastAsia="zh-CN"/>
        </w:rPr>
        <w:t>项目</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rPr>
        <w:t>20年</w:t>
      </w:r>
      <w:r>
        <w:rPr>
          <w:rFonts w:hint="eastAsia" w:ascii="黑体" w:eastAsia="黑体" w:cs="黑体"/>
          <w:color w:val="000000"/>
          <w:sz w:val="44"/>
          <w:szCs w:val="44"/>
          <w:lang w:val="en-US" w:eastAsia="zh-CN"/>
        </w:rPr>
        <w:t>12</w:t>
      </w:r>
      <w:r>
        <w:rPr>
          <w:rFonts w:hint="eastAsia" w:ascii="黑体" w:eastAsia="黑体" w:cs="黑体"/>
          <w:color w:val="000000"/>
          <w:sz w:val="44"/>
          <w:szCs w:val="44"/>
        </w:rPr>
        <w:t>月</w:t>
      </w:r>
    </w:p>
    <w:p>
      <w:pPr>
        <w:rPr>
          <w:rFonts w:ascii="黑体" w:eastAsia="黑体" w:cs="黑体"/>
          <w:color w:val="000000"/>
          <w:sz w:val="44"/>
          <w:szCs w:val="44"/>
        </w:rPr>
      </w:pPr>
    </w:p>
    <w:p>
      <w:pPr>
        <w:rPr>
          <w:rFonts w:ascii="黑体" w:eastAsia="黑体" w:cs="黑体"/>
          <w:color w:val="000000"/>
          <w:sz w:val="44"/>
          <w:szCs w:val="44"/>
        </w:rPr>
      </w:pPr>
    </w:p>
    <w:p>
      <w:pP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7"/>
        <w:spacing w:line="600" w:lineRule="exact"/>
        <w:ind w:firstLine="742"/>
        <w:rPr>
          <w:rFonts w:ascii="仿宋_GB2312"/>
          <w:color w:val="000000"/>
          <w:szCs w:val="32"/>
        </w:rPr>
      </w:pPr>
    </w:p>
    <w:p>
      <w:pPr>
        <w:pStyle w:val="7"/>
        <w:spacing w:line="600" w:lineRule="exact"/>
        <w:ind w:firstLine="742"/>
        <w:rPr>
          <w:rFonts w:ascii="仿宋_GB2312"/>
          <w:color w:val="000000"/>
          <w:szCs w:val="32"/>
        </w:rPr>
      </w:pPr>
    </w:p>
    <w:p>
      <w:pPr>
        <w:pStyle w:val="7"/>
        <w:spacing w:line="600" w:lineRule="exact"/>
        <w:ind w:left="0" w:firstLine="0" w:firstLineChars="0"/>
        <w:rPr>
          <w:rFonts w:ascii="仿宋_GB2312"/>
          <w:color w:val="000000"/>
          <w:szCs w:val="32"/>
        </w:rPr>
      </w:pPr>
    </w:p>
    <w:p>
      <w:pPr>
        <w:pStyle w:val="7"/>
        <w:spacing w:line="600" w:lineRule="exact"/>
        <w:ind w:left="0" w:firstLine="0" w:firstLineChars="0"/>
        <w:rPr>
          <w:rFonts w:ascii="仿宋_GB2312"/>
          <w:color w:val="000000"/>
          <w:szCs w:val="32"/>
        </w:rPr>
        <w:sectPr>
          <w:pgSz w:w="11906" w:h="16838"/>
          <w:pgMar w:top="1440" w:right="1800" w:bottom="1440" w:left="1800" w:header="851" w:footer="992" w:gutter="0"/>
          <w:cols w:space="720" w:num="1"/>
          <w:docGrid w:type="lines" w:linePitch="312" w:charSpace="0"/>
        </w:sectPr>
      </w:pPr>
    </w:p>
    <w:p>
      <w:pPr>
        <w:tabs>
          <w:tab w:val="left" w:pos="2600"/>
        </w:tabs>
        <w:spacing w:beforeLines="50" w:afterLines="50"/>
        <w:jc w:val="center"/>
        <w:rPr>
          <w:rFonts w:ascii="仿宋" w:eastAsia="黑体"/>
          <w:sz w:val="44"/>
        </w:rPr>
      </w:pPr>
      <w:r>
        <w:rPr>
          <w:rFonts w:hint="eastAsia" w:eastAsia="黑体"/>
          <w:sz w:val="44"/>
        </w:rPr>
        <w:t>第一部分  竞争性谈判采购公告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sz w:val="28"/>
          <w:szCs w:val="28"/>
          <w:u w:val="single"/>
          <w:lang w:val="en-US" w:eastAsia="zh-CN"/>
        </w:rPr>
        <w:t>提取安装系统项目</w:t>
      </w:r>
      <w:r>
        <w:rPr>
          <w:rFonts w:hint="eastAsia" w:ascii="仿宋_GB2312" w:hAnsi="仿宋_GB2312" w:eastAsia="仿宋_GB2312" w:cs="仿宋_GB2312"/>
          <w:sz w:val="28"/>
          <w:szCs w:val="28"/>
        </w:rPr>
        <w:t>进行竞争性谈判采购。</w:t>
      </w:r>
    </w:p>
    <w:p>
      <w:pPr>
        <w:spacing w:line="560" w:lineRule="exact"/>
        <w:ind w:firstLine="560" w:firstLineChars="200"/>
        <w:rPr>
          <w:rFonts w:ascii="黑体" w:eastAsia="黑体"/>
          <w:sz w:val="28"/>
          <w:szCs w:val="28"/>
        </w:rPr>
      </w:pPr>
      <w:r>
        <w:rPr>
          <w:rFonts w:hint="eastAsia" w:ascii="黑体" w:eastAsia="黑体"/>
          <w:sz w:val="28"/>
          <w:szCs w:val="28"/>
        </w:rPr>
        <w:t>一、项目内容</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2500"/>
        <w:gridCol w:w="1167"/>
        <w:gridCol w:w="162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49" w:type="dxa"/>
            <w:vAlign w:val="center"/>
          </w:tcPr>
          <w:p>
            <w:pPr>
              <w:jc w:val="center"/>
              <w:rPr>
                <w:b/>
                <w:bCs/>
                <w:sz w:val="22"/>
                <w:szCs w:val="22"/>
              </w:rPr>
            </w:pPr>
            <w:r>
              <w:rPr>
                <w:rFonts w:hint="eastAsia"/>
                <w:b/>
                <w:bCs/>
                <w:sz w:val="22"/>
                <w:szCs w:val="22"/>
              </w:rPr>
              <w:t>序号</w:t>
            </w:r>
          </w:p>
        </w:tc>
        <w:tc>
          <w:tcPr>
            <w:tcW w:w="2500" w:type="dxa"/>
            <w:vAlign w:val="center"/>
          </w:tcPr>
          <w:p>
            <w:pPr>
              <w:jc w:val="center"/>
              <w:rPr>
                <w:b/>
                <w:bCs/>
                <w:sz w:val="22"/>
                <w:szCs w:val="22"/>
              </w:rPr>
            </w:pPr>
            <w:r>
              <w:rPr>
                <w:b/>
                <w:bCs/>
                <w:sz w:val="22"/>
                <w:szCs w:val="22"/>
              </w:rPr>
              <w:t>名称</w:t>
            </w:r>
          </w:p>
        </w:tc>
        <w:tc>
          <w:tcPr>
            <w:tcW w:w="1167" w:type="dxa"/>
            <w:vAlign w:val="center"/>
          </w:tcPr>
          <w:p>
            <w:pPr>
              <w:jc w:val="center"/>
              <w:rPr>
                <w:b/>
                <w:bCs/>
                <w:sz w:val="22"/>
                <w:szCs w:val="22"/>
              </w:rPr>
            </w:pPr>
            <w:r>
              <w:rPr>
                <w:b/>
                <w:bCs/>
                <w:sz w:val="22"/>
                <w:szCs w:val="22"/>
              </w:rPr>
              <w:t>数量</w:t>
            </w:r>
          </w:p>
        </w:tc>
        <w:tc>
          <w:tcPr>
            <w:tcW w:w="1620" w:type="dxa"/>
            <w:vAlign w:val="center"/>
          </w:tcPr>
          <w:p>
            <w:pPr>
              <w:jc w:val="center"/>
              <w:rPr>
                <w:b/>
                <w:bCs/>
                <w:sz w:val="22"/>
                <w:szCs w:val="22"/>
              </w:rPr>
            </w:pPr>
            <w:r>
              <w:rPr>
                <w:b/>
                <w:bCs/>
                <w:sz w:val="22"/>
                <w:szCs w:val="22"/>
              </w:rPr>
              <w:t>单价</w:t>
            </w:r>
          </w:p>
        </w:tc>
        <w:tc>
          <w:tcPr>
            <w:tcW w:w="1923" w:type="dxa"/>
            <w:vAlign w:val="center"/>
          </w:tcPr>
          <w:p>
            <w:pPr>
              <w:jc w:val="center"/>
              <w:rPr>
                <w:rFonts w:hint="eastAsia" w:eastAsia="宋体"/>
                <w:b/>
                <w:bCs/>
                <w:sz w:val="22"/>
                <w:szCs w:val="22"/>
                <w:lang w:eastAsia="zh-CN"/>
              </w:rPr>
            </w:pPr>
            <w:r>
              <w:rPr>
                <w:rFonts w:hint="eastAsia"/>
                <w:b/>
                <w:bCs/>
                <w:sz w:val="22"/>
                <w:szCs w:val="2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1</w:t>
            </w:r>
          </w:p>
        </w:tc>
        <w:tc>
          <w:tcPr>
            <w:tcW w:w="2500" w:type="dxa"/>
            <w:vAlign w:val="center"/>
          </w:tcPr>
          <w:p>
            <w:pPr>
              <w:jc w:val="center"/>
              <w:rPr>
                <w:sz w:val="24"/>
                <w:szCs w:val="24"/>
              </w:rPr>
            </w:pPr>
            <w:r>
              <w:rPr>
                <w:rFonts w:hint="eastAsia"/>
                <w:color w:val="000000"/>
                <w:sz w:val="20"/>
                <w:szCs w:val="20"/>
              </w:rPr>
              <w:t>提取安装工作单元</w:t>
            </w:r>
          </w:p>
        </w:tc>
        <w:tc>
          <w:tcPr>
            <w:tcW w:w="1167" w:type="dxa"/>
            <w:vAlign w:val="center"/>
          </w:tcPr>
          <w:p>
            <w:pPr>
              <w:jc w:val="center"/>
              <w:rPr>
                <w:sz w:val="24"/>
                <w:szCs w:val="24"/>
              </w:rPr>
            </w:pPr>
            <w:r>
              <w:rPr>
                <w:rFonts w:hint="eastAsia"/>
                <w:color w:val="000000"/>
                <w:sz w:val="20"/>
                <w:szCs w:val="20"/>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2</w:t>
            </w:r>
          </w:p>
        </w:tc>
        <w:tc>
          <w:tcPr>
            <w:tcW w:w="2500" w:type="dxa"/>
            <w:vAlign w:val="center"/>
          </w:tcPr>
          <w:p>
            <w:pPr>
              <w:jc w:val="center"/>
              <w:rPr>
                <w:sz w:val="24"/>
                <w:szCs w:val="24"/>
              </w:rPr>
            </w:pPr>
            <w:r>
              <w:rPr>
                <w:rFonts w:hint="eastAsia"/>
                <w:color w:val="000000"/>
                <w:sz w:val="20"/>
                <w:szCs w:val="20"/>
              </w:rPr>
              <w:t>MPS小车</w:t>
            </w:r>
          </w:p>
        </w:tc>
        <w:tc>
          <w:tcPr>
            <w:tcW w:w="1167" w:type="dxa"/>
            <w:vAlign w:val="center"/>
          </w:tcPr>
          <w:p>
            <w:pPr>
              <w:jc w:val="center"/>
              <w:rPr>
                <w:sz w:val="24"/>
                <w:szCs w:val="24"/>
              </w:rPr>
            </w:pPr>
            <w:r>
              <w:rPr>
                <w:rFonts w:hint="eastAsia"/>
                <w:color w:val="000000"/>
                <w:sz w:val="20"/>
                <w:szCs w:val="20"/>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3</w:t>
            </w:r>
          </w:p>
        </w:tc>
        <w:tc>
          <w:tcPr>
            <w:tcW w:w="2500" w:type="dxa"/>
            <w:vAlign w:val="center"/>
          </w:tcPr>
          <w:p>
            <w:pPr>
              <w:jc w:val="center"/>
              <w:rPr>
                <w:sz w:val="24"/>
                <w:szCs w:val="24"/>
              </w:rPr>
            </w:pPr>
            <w:r>
              <w:rPr>
                <w:rFonts w:hint="eastAsia"/>
                <w:color w:val="000000"/>
                <w:sz w:val="20"/>
                <w:szCs w:val="20"/>
              </w:rPr>
              <w:t>控制面板</w:t>
            </w:r>
          </w:p>
        </w:tc>
        <w:tc>
          <w:tcPr>
            <w:tcW w:w="1167" w:type="dxa"/>
            <w:vAlign w:val="center"/>
          </w:tcPr>
          <w:p>
            <w:pPr>
              <w:jc w:val="center"/>
              <w:rPr>
                <w:sz w:val="24"/>
                <w:szCs w:val="24"/>
              </w:rPr>
            </w:pPr>
            <w:r>
              <w:rPr>
                <w:rFonts w:hint="eastAsia"/>
                <w:color w:val="000000"/>
                <w:sz w:val="20"/>
                <w:szCs w:val="20"/>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4</w:t>
            </w:r>
          </w:p>
        </w:tc>
        <w:tc>
          <w:tcPr>
            <w:tcW w:w="2500" w:type="dxa"/>
            <w:vAlign w:val="center"/>
          </w:tcPr>
          <w:p>
            <w:pPr>
              <w:jc w:val="center"/>
              <w:rPr>
                <w:sz w:val="24"/>
                <w:szCs w:val="24"/>
              </w:rPr>
            </w:pPr>
            <w:r>
              <w:rPr>
                <w:rFonts w:hint="eastAsia"/>
                <w:color w:val="000000"/>
                <w:sz w:val="20"/>
                <w:szCs w:val="20"/>
              </w:rPr>
              <w:t>PLC模块1512</w:t>
            </w:r>
          </w:p>
        </w:tc>
        <w:tc>
          <w:tcPr>
            <w:tcW w:w="1167" w:type="dxa"/>
            <w:vAlign w:val="center"/>
          </w:tcPr>
          <w:p>
            <w:pPr>
              <w:jc w:val="center"/>
              <w:rPr>
                <w:sz w:val="24"/>
                <w:szCs w:val="24"/>
              </w:rPr>
            </w:pPr>
            <w:r>
              <w:rPr>
                <w:rFonts w:hint="eastAsia"/>
                <w:color w:val="000000"/>
                <w:sz w:val="20"/>
                <w:szCs w:val="20"/>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5</w:t>
            </w:r>
          </w:p>
        </w:tc>
        <w:tc>
          <w:tcPr>
            <w:tcW w:w="2500" w:type="dxa"/>
            <w:vAlign w:val="center"/>
          </w:tcPr>
          <w:p>
            <w:pPr>
              <w:jc w:val="center"/>
              <w:rPr>
                <w:sz w:val="24"/>
                <w:szCs w:val="24"/>
              </w:rPr>
            </w:pPr>
            <w:r>
              <w:rPr>
                <w:rFonts w:hint="eastAsia"/>
                <w:color w:val="000000"/>
                <w:sz w:val="20"/>
                <w:szCs w:val="20"/>
              </w:rPr>
              <w:t>数字量正交线</w:t>
            </w:r>
          </w:p>
        </w:tc>
        <w:tc>
          <w:tcPr>
            <w:tcW w:w="1167" w:type="dxa"/>
            <w:vAlign w:val="center"/>
          </w:tcPr>
          <w:p>
            <w:pPr>
              <w:jc w:val="center"/>
              <w:rPr>
                <w:sz w:val="24"/>
                <w:szCs w:val="24"/>
              </w:rPr>
            </w:pPr>
            <w:r>
              <w:rPr>
                <w:rFonts w:hint="eastAsia"/>
                <w:color w:val="000000"/>
                <w:sz w:val="20"/>
                <w:szCs w:val="20"/>
              </w:rPr>
              <w:t>2</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6</w:t>
            </w:r>
          </w:p>
        </w:tc>
        <w:tc>
          <w:tcPr>
            <w:tcW w:w="2500" w:type="dxa"/>
            <w:vAlign w:val="center"/>
          </w:tcPr>
          <w:p>
            <w:pPr>
              <w:jc w:val="center"/>
              <w:rPr>
                <w:sz w:val="24"/>
                <w:szCs w:val="24"/>
              </w:rPr>
            </w:pPr>
            <w:r>
              <w:rPr>
                <w:rFonts w:hint="eastAsia"/>
                <w:color w:val="000000"/>
                <w:sz w:val="20"/>
                <w:szCs w:val="20"/>
              </w:rPr>
              <w:t>模拟量正交线</w:t>
            </w:r>
          </w:p>
        </w:tc>
        <w:tc>
          <w:tcPr>
            <w:tcW w:w="1167" w:type="dxa"/>
            <w:vAlign w:val="center"/>
          </w:tcPr>
          <w:p>
            <w:pPr>
              <w:jc w:val="center"/>
              <w:rPr>
                <w:sz w:val="24"/>
                <w:szCs w:val="24"/>
              </w:rPr>
            </w:pPr>
            <w:r>
              <w:rPr>
                <w:rFonts w:hint="eastAsia"/>
                <w:color w:val="000000"/>
                <w:sz w:val="20"/>
                <w:szCs w:val="20"/>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7</w:t>
            </w:r>
          </w:p>
        </w:tc>
        <w:tc>
          <w:tcPr>
            <w:tcW w:w="2500" w:type="dxa"/>
            <w:vAlign w:val="center"/>
          </w:tcPr>
          <w:p>
            <w:pPr>
              <w:jc w:val="center"/>
              <w:rPr>
                <w:sz w:val="24"/>
                <w:szCs w:val="24"/>
              </w:rPr>
            </w:pPr>
            <w:r>
              <w:rPr>
                <w:rFonts w:hint="eastAsia"/>
                <w:color w:val="000000"/>
                <w:sz w:val="20"/>
                <w:szCs w:val="20"/>
              </w:rPr>
              <w:t>稳压电源</w:t>
            </w:r>
          </w:p>
        </w:tc>
        <w:tc>
          <w:tcPr>
            <w:tcW w:w="1167" w:type="dxa"/>
            <w:vAlign w:val="center"/>
          </w:tcPr>
          <w:p>
            <w:pPr>
              <w:jc w:val="center"/>
              <w:rPr>
                <w:sz w:val="24"/>
                <w:szCs w:val="24"/>
              </w:rPr>
            </w:pPr>
            <w:r>
              <w:rPr>
                <w:rFonts w:hint="eastAsia"/>
                <w:color w:val="000000"/>
                <w:sz w:val="20"/>
                <w:szCs w:val="20"/>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8</w:t>
            </w:r>
          </w:p>
        </w:tc>
        <w:tc>
          <w:tcPr>
            <w:tcW w:w="2500" w:type="dxa"/>
            <w:vAlign w:val="center"/>
          </w:tcPr>
          <w:p>
            <w:pPr>
              <w:jc w:val="center"/>
              <w:rPr>
                <w:sz w:val="24"/>
                <w:szCs w:val="24"/>
              </w:rPr>
            </w:pPr>
            <w:r>
              <w:rPr>
                <w:rFonts w:hint="eastAsia"/>
                <w:color w:val="000000"/>
                <w:sz w:val="20"/>
                <w:szCs w:val="20"/>
              </w:rPr>
              <w:t>编程器</w:t>
            </w:r>
          </w:p>
        </w:tc>
        <w:tc>
          <w:tcPr>
            <w:tcW w:w="1167" w:type="dxa"/>
            <w:vAlign w:val="center"/>
          </w:tcPr>
          <w:p>
            <w:pPr>
              <w:jc w:val="center"/>
              <w:rPr>
                <w:sz w:val="24"/>
                <w:szCs w:val="24"/>
              </w:rPr>
            </w:pPr>
            <w:r>
              <w:rPr>
                <w:rFonts w:hint="eastAsia"/>
                <w:color w:val="000000"/>
                <w:sz w:val="20"/>
                <w:szCs w:val="20"/>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9</w:t>
            </w:r>
          </w:p>
        </w:tc>
        <w:tc>
          <w:tcPr>
            <w:tcW w:w="2500" w:type="dxa"/>
            <w:vAlign w:val="center"/>
          </w:tcPr>
          <w:p>
            <w:pPr>
              <w:jc w:val="center"/>
              <w:rPr>
                <w:sz w:val="24"/>
                <w:szCs w:val="24"/>
              </w:rPr>
            </w:pPr>
            <w:r>
              <w:rPr>
                <w:rFonts w:hint="eastAsia"/>
                <w:color w:val="000000"/>
                <w:sz w:val="20"/>
                <w:szCs w:val="20"/>
              </w:rPr>
              <w:t>数字量I/O端子</w:t>
            </w:r>
          </w:p>
        </w:tc>
        <w:tc>
          <w:tcPr>
            <w:tcW w:w="1167" w:type="dxa"/>
            <w:vAlign w:val="center"/>
          </w:tcPr>
          <w:p>
            <w:pPr>
              <w:jc w:val="center"/>
              <w:rPr>
                <w:sz w:val="24"/>
                <w:szCs w:val="24"/>
              </w:rPr>
            </w:pPr>
            <w:r>
              <w:rPr>
                <w:rFonts w:hint="eastAsia"/>
                <w:color w:val="000000"/>
                <w:sz w:val="20"/>
                <w:szCs w:val="20"/>
              </w:rPr>
              <w:t>2</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10</w:t>
            </w:r>
          </w:p>
        </w:tc>
        <w:tc>
          <w:tcPr>
            <w:tcW w:w="2500" w:type="dxa"/>
            <w:vAlign w:val="center"/>
          </w:tcPr>
          <w:p>
            <w:pPr>
              <w:jc w:val="center"/>
              <w:rPr>
                <w:sz w:val="24"/>
                <w:szCs w:val="24"/>
              </w:rPr>
            </w:pPr>
            <w:r>
              <w:rPr>
                <w:rFonts w:hint="eastAsia"/>
                <w:color w:val="000000"/>
                <w:sz w:val="20"/>
                <w:szCs w:val="20"/>
              </w:rPr>
              <w:t>模拟量I/O端子</w:t>
            </w:r>
          </w:p>
        </w:tc>
        <w:tc>
          <w:tcPr>
            <w:tcW w:w="1167" w:type="dxa"/>
            <w:vAlign w:val="center"/>
          </w:tcPr>
          <w:p>
            <w:pPr>
              <w:jc w:val="center"/>
              <w:rPr>
                <w:sz w:val="24"/>
                <w:szCs w:val="24"/>
              </w:rPr>
            </w:pPr>
            <w:r>
              <w:rPr>
                <w:rFonts w:hint="eastAsia"/>
                <w:color w:val="000000"/>
                <w:sz w:val="20"/>
                <w:szCs w:val="20"/>
              </w:rPr>
              <w:t>2</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11</w:t>
            </w:r>
          </w:p>
        </w:tc>
        <w:tc>
          <w:tcPr>
            <w:tcW w:w="2500" w:type="dxa"/>
            <w:vAlign w:val="center"/>
          </w:tcPr>
          <w:p>
            <w:pPr>
              <w:jc w:val="center"/>
              <w:rPr>
                <w:sz w:val="24"/>
                <w:szCs w:val="24"/>
              </w:rPr>
            </w:pPr>
            <w:r>
              <w:rPr>
                <w:rFonts w:hint="eastAsia"/>
                <w:color w:val="000000"/>
                <w:sz w:val="20"/>
                <w:szCs w:val="20"/>
              </w:rPr>
              <w:t>微型I/O端子,垂直</w:t>
            </w:r>
          </w:p>
        </w:tc>
        <w:tc>
          <w:tcPr>
            <w:tcW w:w="1167" w:type="dxa"/>
            <w:vAlign w:val="center"/>
          </w:tcPr>
          <w:p>
            <w:pPr>
              <w:jc w:val="center"/>
              <w:rPr>
                <w:sz w:val="24"/>
                <w:szCs w:val="24"/>
              </w:rPr>
            </w:pPr>
            <w:r>
              <w:rPr>
                <w:rFonts w:hint="eastAsia"/>
                <w:color w:val="000000"/>
                <w:sz w:val="20"/>
                <w:szCs w:val="20"/>
              </w:rPr>
              <w:t>2</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12</w:t>
            </w:r>
          </w:p>
        </w:tc>
        <w:tc>
          <w:tcPr>
            <w:tcW w:w="2500" w:type="dxa"/>
            <w:vAlign w:val="center"/>
          </w:tcPr>
          <w:p>
            <w:pPr>
              <w:jc w:val="center"/>
              <w:rPr>
                <w:sz w:val="24"/>
                <w:szCs w:val="24"/>
              </w:rPr>
            </w:pPr>
            <w:r>
              <w:rPr>
                <w:rFonts w:hint="eastAsia"/>
                <w:color w:val="000000"/>
                <w:sz w:val="20"/>
                <w:szCs w:val="20"/>
              </w:rPr>
              <w:t>微型I/O端子,水平</w:t>
            </w:r>
          </w:p>
        </w:tc>
        <w:tc>
          <w:tcPr>
            <w:tcW w:w="1167" w:type="dxa"/>
            <w:vAlign w:val="center"/>
          </w:tcPr>
          <w:p>
            <w:pPr>
              <w:jc w:val="center"/>
              <w:rPr>
                <w:sz w:val="24"/>
                <w:szCs w:val="24"/>
              </w:rPr>
            </w:pPr>
            <w:r>
              <w:rPr>
                <w:rFonts w:hint="eastAsia"/>
                <w:color w:val="000000"/>
                <w:sz w:val="20"/>
                <w:szCs w:val="20"/>
              </w:rPr>
              <w:t>2</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13</w:t>
            </w:r>
          </w:p>
        </w:tc>
        <w:tc>
          <w:tcPr>
            <w:tcW w:w="2500" w:type="dxa"/>
            <w:vAlign w:val="center"/>
          </w:tcPr>
          <w:p>
            <w:pPr>
              <w:jc w:val="center"/>
              <w:rPr>
                <w:sz w:val="24"/>
                <w:szCs w:val="24"/>
              </w:rPr>
            </w:pPr>
            <w:r>
              <w:rPr>
                <w:rFonts w:hint="eastAsia"/>
                <w:color w:val="000000"/>
                <w:sz w:val="20"/>
                <w:szCs w:val="20"/>
              </w:rPr>
              <w:t>数字量单端线缆</w:t>
            </w:r>
          </w:p>
        </w:tc>
        <w:tc>
          <w:tcPr>
            <w:tcW w:w="1167" w:type="dxa"/>
            <w:vAlign w:val="center"/>
          </w:tcPr>
          <w:p>
            <w:pPr>
              <w:jc w:val="center"/>
              <w:rPr>
                <w:sz w:val="24"/>
                <w:szCs w:val="24"/>
              </w:rPr>
            </w:pPr>
            <w:r>
              <w:rPr>
                <w:rFonts w:hint="eastAsia"/>
                <w:color w:val="000000"/>
                <w:sz w:val="20"/>
                <w:szCs w:val="20"/>
              </w:rPr>
              <w:t>2</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rFonts w:hint="eastAsia"/>
                <w:sz w:val="22"/>
                <w:szCs w:val="24"/>
              </w:rPr>
            </w:pPr>
            <w:r>
              <w:rPr>
                <w:rFonts w:hint="eastAsia"/>
                <w:color w:val="000000"/>
                <w:sz w:val="20"/>
                <w:szCs w:val="20"/>
              </w:rPr>
              <w:t>14</w:t>
            </w:r>
          </w:p>
        </w:tc>
        <w:tc>
          <w:tcPr>
            <w:tcW w:w="2500" w:type="dxa"/>
            <w:vAlign w:val="center"/>
          </w:tcPr>
          <w:p>
            <w:pPr>
              <w:jc w:val="center"/>
              <w:rPr>
                <w:rFonts w:hint="eastAsia"/>
                <w:sz w:val="22"/>
                <w:szCs w:val="24"/>
              </w:rPr>
            </w:pPr>
            <w:r>
              <w:rPr>
                <w:rFonts w:hint="eastAsia"/>
                <w:color w:val="000000"/>
                <w:sz w:val="20"/>
                <w:szCs w:val="20"/>
              </w:rPr>
              <w:t>C接口</w:t>
            </w:r>
          </w:p>
        </w:tc>
        <w:tc>
          <w:tcPr>
            <w:tcW w:w="1167" w:type="dxa"/>
            <w:vAlign w:val="center"/>
          </w:tcPr>
          <w:p>
            <w:pPr>
              <w:jc w:val="center"/>
              <w:rPr>
                <w:rFonts w:hint="eastAsia"/>
                <w:sz w:val="22"/>
                <w:szCs w:val="24"/>
              </w:rPr>
            </w:pPr>
            <w:r>
              <w:rPr>
                <w:rFonts w:hint="eastAsia"/>
                <w:color w:val="000000"/>
                <w:sz w:val="20"/>
                <w:szCs w:val="20"/>
              </w:rPr>
              <w:t>2</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rFonts w:hint="eastAsia"/>
                <w:sz w:val="22"/>
                <w:szCs w:val="24"/>
              </w:rPr>
            </w:pPr>
            <w:r>
              <w:rPr>
                <w:rFonts w:hint="eastAsia"/>
                <w:color w:val="000000"/>
                <w:sz w:val="20"/>
                <w:szCs w:val="20"/>
              </w:rPr>
              <w:t>15</w:t>
            </w:r>
          </w:p>
        </w:tc>
        <w:tc>
          <w:tcPr>
            <w:tcW w:w="2500" w:type="dxa"/>
            <w:vAlign w:val="center"/>
          </w:tcPr>
          <w:p>
            <w:pPr>
              <w:jc w:val="center"/>
              <w:rPr>
                <w:rFonts w:hint="eastAsia"/>
                <w:sz w:val="22"/>
                <w:szCs w:val="24"/>
              </w:rPr>
            </w:pPr>
            <w:r>
              <w:rPr>
                <w:rFonts w:hint="eastAsia"/>
                <w:color w:val="000000"/>
                <w:sz w:val="20"/>
                <w:szCs w:val="20"/>
              </w:rPr>
              <w:t>15针电缆</w:t>
            </w:r>
          </w:p>
        </w:tc>
        <w:tc>
          <w:tcPr>
            <w:tcW w:w="1167" w:type="dxa"/>
            <w:vAlign w:val="center"/>
          </w:tcPr>
          <w:p>
            <w:pPr>
              <w:jc w:val="center"/>
              <w:rPr>
                <w:rFonts w:hint="eastAsia"/>
                <w:sz w:val="22"/>
                <w:szCs w:val="24"/>
              </w:rPr>
            </w:pPr>
            <w:r>
              <w:rPr>
                <w:rFonts w:hint="eastAsia"/>
                <w:color w:val="000000"/>
                <w:sz w:val="20"/>
                <w:szCs w:val="20"/>
              </w:rPr>
              <w:t>2</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rFonts w:hint="eastAsia"/>
                <w:sz w:val="22"/>
                <w:szCs w:val="24"/>
              </w:rPr>
            </w:pPr>
            <w:r>
              <w:rPr>
                <w:rFonts w:hint="eastAsia"/>
                <w:color w:val="000000"/>
                <w:sz w:val="20"/>
                <w:szCs w:val="20"/>
              </w:rPr>
              <w:t>16</w:t>
            </w:r>
          </w:p>
        </w:tc>
        <w:tc>
          <w:tcPr>
            <w:tcW w:w="2500" w:type="dxa"/>
            <w:vAlign w:val="center"/>
          </w:tcPr>
          <w:p>
            <w:pPr>
              <w:jc w:val="center"/>
              <w:rPr>
                <w:rFonts w:hint="eastAsia"/>
                <w:sz w:val="22"/>
                <w:szCs w:val="24"/>
              </w:rPr>
            </w:pPr>
            <w:r>
              <w:rPr>
                <w:rFonts w:hint="eastAsia"/>
                <w:sz w:val="20"/>
                <w:szCs w:val="20"/>
              </w:rPr>
              <w:t>四芯转三芯连接电缆</w:t>
            </w:r>
          </w:p>
        </w:tc>
        <w:tc>
          <w:tcPr>
            <w:tcW w:w="1167" w:type="dxa"/>
            <w:vAlign w:val="center"/>
          </w:tcPr>
          <w:p>
            <w:pPr>
              <w:jc w:val="center"/>
              <w:rPr>
                <w:rFonts w:hint="eastAsia"/>
                <w:sz w:val="22"/>
                <w:szCs w:val="24"/>
              </w:rPr>
            </w:pPr>
            <w:r>
              <w:rPr>
                <w:rFonts w:hint="eastAsia"/>
                <w:color w:val="000000"/>
                <w:sz w:val="20"/>
                <w:szCs w:val="20"/>
              </w:rPr>
              <w:t>2</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rFonts w:hint="eastAsia"/>
                <w:sz w:val="22"/>
                <w:szCs w:val="24"/>
              </w:rPr>
            </w:pPr>
            <w:r>
              <w:rPr>
                <w:rFonts w:hint="eastAsia"/>
                <w:color w:val="000000"/>
                <w:sz w:val="20"/>
                <w:szCs w:val="20"/>
              </w:rPr>
              <w:t>17</w:t>
            </w:r>
          </w:p>
        </w:tc>
        <w:tc>
          <w:tcPr>
            <w:tcW w:w="2500" w:type="dxa"/>
            <w:vAlign w:val="center"/>
          </w:tcPr>
          <w:p>
            <w:pPr>
              <w:jc w:val="center"/>
              <w:rPr>
                <w:rFonts w:hint="eastAsia"/>
                <w:sz w:val="22"/>
                <w:szCs w:val="24"/>
              </w:rPr>
            </w:pPr>
            <w:r>
              <w:rPr>
                <w:rFonts w:hint="eastAsia"/>
                <w:color w:val="000000"/>
                <w:sz w:val="20"/>
                <w:szCs w:val="20"/>
              </w:rPr>
              <w:t>传感器</w:t>
            </w:r>
          </w:p>
        </w:tc>
        <w:tc>
          <w:tcPr>
            <w:tcW w:w="1167" w:type="dxa"/>
            <w:vAlign w:val="center"/>
          </w:tcPr>
          <w:p>
            <w:pPr>
              <w:jc w:val="center"/>
              <w:rPr>
                <w:rFonts w:hint="eastAsia"/>
                <w:sz w:val="22"/>
                <w:szCs w:val="24"/>
              </w:rPr>
            </w:pPr>
            <w:r>
              <w:rPr>
                <w:rFonts w:hint="eastAsia"/>
                <w:color w:val="000000"/>
                <w:sz w:val="20"/>
                <w:szCs w:val="20"/>
              </w:rPr>
              <w:t>2</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rFonts w:hint="eastAsia"/>
                <w:sz w:val="22"/>
                <w:szCs w:val="24"/>
              </w:rPr>
            </w:pPr>
            <w:r>
              <w:rPr>
                <w:rFonts w:hint="eastAsia"/>
                <w:color w:val="000000"/>
                <w:sz w:val="20"/>
                <w:szCs w:val="20"/>
              </w:rPr>
              <w:t>18</w:t>
            </w:r>
          </w:p>
        </w:tc>
        <w:tc>
          <w:tcPr>
            <w:tcW w:w="2500" w:type="dxa"/>
            <w:vAlign w:val="center"/>
          </w:tcPr>
          <w:p>
            <w:pPr>
              <w:jc w:val="center"/>
              <w:rPr>
                <w:rFonts w:hint="eastAsia"/>
                <w:sz w:val="22"/>
                <w:szCs w:val="24"/>
              </w:rPr>
            </w:pPr>
            <w:r>
              <w:rPr>
                <w:rFonts w:hint="eastAsia"/>
                <w:color w:val="000000"/>
                <w:sz w:val="20"/>
                <w:szCs w:val="20"/>
              </w:rPr>
              <w:t>传感器</w:t>
            </w:r>
          </w:p>
        </w:tc>
        <w:tc>
          <w:tcPr>
            <w:tcW w:w="1167" w:type="dxa"/>
            <w:vAlign w:val="center"/>
          </w:tcPr>
          <w:p>
            <w:pPr>
              <w:jc w:val="center"/>
              <w:rPr>
                <w:rFonts w:hint="eastAsia"/>
                <w:sz w:val="22"/>
                <w:szCs w:val="24"/>
              </w:rPr>
            </w:pPr>
            <w:r>
              <w:rPr>
                <w:rFonts w:hint="eastAsia"/>
                <w:color w:val="000000"/>
                <w:sz w:val="20"/>
                <w:szCs w:val="20"/>
              </w:rPr>
              <w:t>2</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rFonts w:hint="eastAsia"/>
                <w:sz w:val="22"/>
                <w:szCs w:val="24"/>
              </w:rPr>
            </w:pPr>
            <w:r>
              <w:rPr>
                <w:rFonts w:hint="eastAsia"/>
                <w:color w:val="000000"/>
                <w:sz w:val="20"/>
                <w:szCs w:val="20"/>
              </w:rPr>
              <w:t>19</w:t>
            </w:r>
          </w:p>
        </w:tc>
        <w:tc>
          <w:tcPr>
            <w:tcW w:w="2500" w:type="dxa"/>
            <w:vAlign w:val="center"/>
          </w:tcPr>
          <w:p>
            <w:pPr>
              <w:jc w:val="center"/>
              <w:rPr>
                <w:rFonts w:hint="eastAsia"/>
                <w:sz w:val="22"/>
                <w:szCs w:val="24"/>
              </w:rPr>
            </w:pPr>
            <w:r>
              <w:rPr>
                <w:rFonts w:hint="eastAsia"/>
                <w:color w:val="000000"/>
                <w:sz w:val="20"/>
                <w:szCs w:val="20"/>
              </w:rPr>
              <w:t>接近式传感器</w:t>
            </w:r>
          </w:p>
        </w:tc>
        <w:tc>
          <w:tcPr>
            <w:tcW w:w="1167" w:type="dxa"/>
            <w:vAlign w:val="center"/>
          </w:tcPr>
          <w:p>
            <w:pPr>
              <w:jc w:val="center"/>
              <w:rPr>
                <w:rFonts w:hint="eastAsia"/>
                <w:sz w:val="22"/>
                <w:szCs w:val="24"/>
              </w:rPr>
            </w:pPr>
            <w:r>
              <w:rPr>
                <w:rFonts w:hint="eastAsia"/>
                <w:color w:val="000000"/>
                <w:sz w:val="20"/>
                <w:szCs w:val="20"/>
              </w:rPr>
              <w:t>2</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rFonts w:hint="eastAsia"/>
                <w:sz w:val="22"/>
                <w:szCs w:val="24"/>
              </w:rPr>
            </w:pPr>
            <w:r>
              <w:rPr>
                <w:rFonts w:hint="eastAsia"/>
                <w:color w:val="000000"/>
                <w:sz w:val="20"/>
                <w:szCs w:val="20"/>
              </w:rPr>
              <w:t>20</w:t>
            </w:r>
          </w:p>
        </w:tc>
        <w:tc>
          <w:tcPr>
            <w:tcW w:w="2500" w:type="dxa"/>
            <w:vAlign w:val="center"/>
          </w:tcPr>
          <w:p>
            <w:pPr>
              <w:jc w:val="center"/>
              <w:rPr>
                <w:rFonts w:hint="eastAsia"/>
                <w:sz w:val="22"/>
                <w:szCs w:val="24"/>
              </w:rPr>
            </w:pPr>
            <w:r>
              <w:rPr>
                <w:rFonts w:hint="eastAsia"/>
                <w:color w:val="000000"/>
                <w:sz w:val="20"/>
                <w:szCs w:val="20"/>
              </w:rPr>
              <w:t>光纤电缆</w:t>
            </w:r>
          </w:p>
        </w:tc>
        <w:tc>
          <w:tcPr>
            <w:tcW w:w="1167" w:type="dxa"/>
            <w:vAlign w:val="center"/>
          </w:tcPr>
          <w:p>
            <w:pPr>
              <w:jc w:val="center"/>
              <w:rPr>
                <w:rFonts w:hint="eastAsia"/>
                <w:sz w:val="22"/>
                <w:szCs w:val="24"/>
              </w:rPr>
            </w:pPr>
            <w:r>
              <w:rPr>
                <w:rFonts w:hint="eastAsia"/>
                <w:color w:val="000000"/>
                <w:sz w:val="20"/>
                <w:szCs w:val="20"/>
              </w:rPr>
              <w:t>2</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rFonts w:hint="eastAsia"/>
                <w:sz w:val="22"/>
                <w:szCs w:val="24"/>
              </w:rPr>
            </w:pPr>
            <w:r>
              <w:rPr>
                <w:rFonts w:hint="eastAsia"/>
                <w:color w:val="000000"/>
                <w:sz w:val="20"/>
                <w:szCs w:val="20"/>
              </w:rPr>
              <w:t>21</w:t>
            </w:r>
          </w:p>
        </w:tc>
        <w:tc>
          <w:tcPr>
            <w:tcW w:w="2500" w:type="dxa"/>
            <w:vAlign w:val="center"/>
          </w:tcPr>
          <w:p>
            <w:pPr>
              <w:jc w:val="center"/>
              <w:rPr>
                <w:rFonts w:hint="eastAsia"/>
                <w:sz w:val="22"/>
                <w:szCs w:val="24"/>
              </w:rPr>
            </w:pPr>
            <w:r>
              <w:rPr>
                <w:rFonts w:hint="eastAsia"/>
                <w:color w:val="000000"/>
                <w:sz w:val="20"/>
                <w:szCs w:val="20"/>
              </w:rPr>
              <w:t>光纤电缆</w:t>
            </w:r>
          </w:p>
        </w:tc>
        <w:tc>
          <w:tcPr>
            <w:tcW w:w="1167" w:type="dxa"/>
            <w:vAlign w:val="center"/>
          </w:tcPr>
          <w:p>
            <w:pPr>
              <w:jc w:val="center"/>
              <w:rPr>
                <w:rFonts w:hint="eastAsia"/>
                <w:sz w:val="22"/>
                <w:szCs w:val="24"/>
              </w:rPr>
            </w:pPr>
            <w:r>
              <w:rPr>
                <w:rFonts w:hint="eastAsia"/>
                <w:color w:val="000000"/>
                <w:sz w:val="20"/>
                <w:szCs w:val="20"/>
              </w:rPr>
              <w:t>2</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rFonts w:hint="eastAsia"/>
                <w:sz w:val="22"/>
                <w:szCs w:val="24"/>
              </w:rPr>
            </w:pPr>
            <w:r>
              <w:rPr>
                <w:rFonts w:hint="eastAsia"/>
                <w:color w:val="000000"/>
                <w:sz w:val="20"/>
                <w:szCs w:val="20"/>
              </w:rPr>
              <w:t>22</w:t>
            </w:r>
          </w:p>
        </w:tc>
        <w:tc>
          <w:tcPr>
            <w:tcW w:w="2500" w:type="dxa"/>
            <w:vAlign w:val="center"/>
          </w:tcPr>
          <w:p>
            <w:pPr>
              <w:jc w:val="center"/>
              <w:rPr>
                <w:rFonts w:hint="eastAsia"/>
                <w:sz w:val="22"/>
                <w:szCs w:val="24"/>
              </w:rPr>
            </w:pPr>
            <w:r>
              <w:rPr>
                <w:rFonts w:hint="eastAsia"/>
                <w:color w:val="000000"/>
                <w:sz w:val="20"/>
                <w:szCs w:val="20"/>
              </w:rPr>
              <w:t>单向节流阀</w:t>
            </w:r>
          </w:p>
        </w:tc>
        <w:tc>
          <w:tcPr>
            <w:tcW w:w="1167" w:type="dxa"/>
            <w:vAlign w:val="center"/>
          </w:tcPr>
          <w:p>
            <w:pPr>
              <w:jc w:val="center"/>
              <w:rPr>
                <w:rFonts w:hint="eastAsia"/>
                <w:sz w:val="22"/>
                <w:szCs w:val="24"/>
              </w:rPr>
            </w:pPr>
            <w:r>
              <w:rPr>
                <w:rFonts w:hint="eastAsia"/>
                <w:color w:val="000000"/>
                <w:sz w:val="20"/>
                <w:szCs w:val="20"/>
              </w:rPr>
              <w:t>4</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rFonts w:hint="eastAsia"/>
                <w:sz w:val="22"/>
                <w:szCs w:val="24"/>
              </w:rPr>
            </w:pPr>
            <w:r>
              <w:rPr>
                <w:rFonts w:hint="eastAsia"/>
                <w:color w:val="000000"/>
                <w:sz w:val="20"/>
                <w:szCs w:val="20"/>
              </w:rPr>
              <w:t>23</w:t>
            </w:r>
          </w:p>
        </w:tc>
        <w:tc>
          <w:tcPr>
            <w:tcW w:w="2500" w:type="dxa"/>
            <w:vAlign w:val="center"/>
          </w:tcPr>
          <w:p>
            <w:pPr>
              <w:jc w:val="center"/>
              <w:rPr>
                <w:rFonts w:hint="eastAsia"/>
                <w:sz w:val="22"/>
                <w:szCs w:val="24"/>
              </w:rPr>
            </w:pPr>
            <w:r>
              <w:rPr>
                <w:rFonts w:hint="eastAsia"/>
                <w:color w:val="000000"/>
                <w:sz w:val="20"/>
                <w:szCs w:val="20"/>
              </w:rPr>
              <w:t>距离传感器</w:t>
            </w:r>
          </w:p>
        </w:tc>
        <w:tc>
          <w:tcPr>
            <w:tcW w:w="1167" w:type="dxa"/>
            <w:vAlign w:val="center"/>
          </w:tcPr>
          <w:p>
            <w:pPr>
              <w:jc w:val="center"/>
              <w:rPr>
                <w:rFonts w:hint="eastAsia"/>
                <w:sz w:val="22"/>
                <w:szCs w:val="24"/>
              </w:rPr>
            </w:pPr>
            <w:r>
              <w:rPr>
                <w:rFonts w:hint="eastAsia"/>
                <w:color w:val="000000"/>
                <w:sz w:val="20"/>
                <w:szCs w:val="20"/>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6" w:type="dxa"/>
            <w:gridSpan w:val="4"/>
            <w:vAlign w:val="center"/>
          </w:tcPr>
          <w:p>
            <w:pPr>
              <w:jc w:val="center"/>
              <w:rPr>
                <w:sz w:val="22"/>
                <w:szCs w:val="22"/>
              </w:rPr>
            </w:pPr>
            <w:r>
              <w:rPr>
                <w:sz w:val="22"/>
                <w:szCs w:val="22"/>
              </w:rPr>
              <w:t>合计</w:t>
            </w:r>
          </w:p>
        </w:tc>
        <w:tc>
          <w:tcPr>
            <w:tcW w:w="1923" w:type="dxa"/>
            <w:vAlign w:val="center"/>
          </w:tcPr>
          <w:p>
            <w:pPr>
              <w:jc w:val="center"/>
              <w:rPr>
                <w:sz w:val="22"/>
                <w:szCs w:val="22"/>
              </w:rPr>
            </w:pPr>
          </w:p>
        </w:tc>
      </w:tr>
    </w:tbl>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lang w:eastAsia="zh-CN"/>
        </w:rPr>
      </w:pPr>
      <w:r>
        <w:rPr>
          <w:rStyle w:val="17"/>
          <w:rFonts w:hint="eastAsia" w:ascii="仿宋_GB2312" w:hAnsi="仿宋_GB2312" w:eastAsia="仿宋_GB2312" w:cs="仿宋_GB2312"/>
          <w:sz w:val="28"/>
          <w:szCs w:val="28"/>
          <w:lang w:eastAsia="zh-CN"/>
        </w:rPr>
        <w:t>备注：</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lang w:val="en-US" w:eastAsia="zh-CN"/>
        </w:rPr>
      </w:pPr>
      <w:r>
        <w:rPr>
          <w:rStyle w:val="17"/>
          <w:rFonts w:hint="eastAsia" w:ascii="仿宋_GB2312" w:hAnsi="仿宋_GB2312" w:eastAsia="仿宋_GB2312" w:cs="仿宋_GB2312"/>
          <w:sz w:val="28"/>
          <w:szCs w:val="28"/>
          <w:lang w:val="en-US" w:eastAsia="zh-CN"/>
        </w:rPr>
        <w:t>1、投标设备须满足参加世界技能大赛及全国选拔赛“机电一体化”赛项的参赛要求。课程上学生以“工作单元”形式综合体现，可以模块方式自由组合，形成多种模式，训练学生进行机械装调、电气管路连接、程序设计、传感器应用、计算机应用、检修排故、伺服、步进驱动控制等电气设备安装与维修专业技能训练，可以融入现有教学体系中。</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lang w:val="en-US" w:eastAsia="zh-CN"/>
        </w:rPr>
      </w:pPr>
      <w:r>
        <w:rPr>
          <w:rStyle w:val="17"/>
          <w:rFonts w:hint="eastAsia" w:ascii="仿宋_GB2312" w:hAnsi="仿宋_GB2312" w:eastAsia="仿宋_GB2312" w:cs="仿宋_GB2312"/>
          <w:sz w:val="28"/>
          <w:szCs w:val="28"/>
          <w:lang w:val="en-US" w:eastAsia="zh-CN"/>
        </w:rPr>
        <w:t>2、签订合同后，供货前，采购人可以要求中标人提供样机，样机功能需与技术参数要求一致。</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rPr>
      </w:pPr>
      <w:r>
        <w:rPr>
          <w:rStyle w:val="17"/>
          <w:rFonts w:hint="eastAsia" w:ascii="仿宋_GB2312" w:hAnsi="仿宋_GB2312" w:eastAsia="仿宋_GB2312" w:cs="仿宋_GB2312"/>
          <w:sz w:val="28"/>
          <w:szCs w:val="28"/>
          <w:lang w:val="en-US" w:eastAsia="zh-CN"/>
        </w:rPr>
        <w:t>提取安装训练系统需实现以下功能：</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rPr>
      </w:pPr>
      <w:r>
        <w:rPr>
          <w:rStyle w:val="17"/>
          <w:rFonts w:hint="eastAsia" w:ascii="仿宋_GB2312" w:hAnsi="仿宋_GB2312" w:eastAsia="仿宋_GB2312" w:cs="仿宋_GB2312"/>
          <w:sz w:val="28"/>
          <w:szCs w:val="28"/>
        </w:rPr>
        <w:t>1、提取/安装工作单元必需完成下列加工功能：</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提取/放置工作单元装配2轴的拾取和放置模块.通过漫射式传感器检测到工件,工件传送到传送带上的气动分离器并且由第二个传感器检测. 拾取和放置模块将滑槽上工件放置到工件上. 通过分离器释放完整的工件并传送到传送带的末端.在传送带的末端光纤式传感器检测工件。</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562" w:firstLineChars="200"/>
        <w:textAlignment w:val="auto"/>
        <w:rPr>
          <w:rFonts w:hint="eastAsia" w:ascii="仿宋_GB2312" w:hAnsi="仿宋_GB2312" w:eastAsia="仿宋_GB2312" w:cs="仿宋_GB2312"/>
          <w:sz w:val="28"/>
          <w:szCs w:val="28"/>
        </w:rPr>
      </w:pPr>
      <w:r>
        <w:rPr>
          <w:rStyle w:val="17"/>
          <w:rFonts w:hint="eastAsia" w:ascii="仿宋_GB2312" w:hAnsi="仿宋_GB2312" w:eastAsia="仿宋_GB2312" w:cs="仿宋_GB2312"/>
          <w:sz w:val="28"/>
          <w:szCs w:val="28"/>
        </w:rPr>
        <w:t>2、设备必需能够进行下列内容的教学培训：</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机械:工作单元的机械安装调试；（2）气动:气动元器件间的管路连接；（3）电气:电气元器件的正确布线；（4）传感器开关的应用、电感式及光电式传感器的操作模式及应用；（5）PLC编程及应用；（6）系统调试:完整加工顺序的调试。</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562" w:firstLineChars="200"/>
        <w:textAlignment w:val="auto"/>
        <w:rPr>
          <w:rStyle w:val="17"/>
          <w:rFonts w:hint="eastAsia" w:ascii="仿宋_GB2312" w:hAnsi="仿宋_GB2312" w:eastAsia="仿宋_GB2312" w:cs="仿宋_GB2312"/>
          <w:b w:val="0"/>
          <w:sz w:val="28"/>
          <w:szCs w:val="28"/>
        </w:rPr>
      </w:pPr>
      <w:r>
        <w:rPr>
          <w:rStyle w:val="17"/>
          <w:rFonts w:hint="eastAsia" w:ascii="仿宋_GB2312" w:hAnsi="仿宋_GB2312" w:eastAsia="仿宋_GB2312" w:cs="仿宋_GB2312"/>
          <w:sz w:val="28"/>
          <w:szCs w:val="28"/>
        </w:rPr>
        <w:t>3、基本技术参数：</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（1）工作压力≥600KPa(6bar)；（2）稳压电源24VDC；（3）至少8个数字量输入、4个数字量输出；（4）铝合金板材厚度不小于32mm</w:t>
      </w:r>
      <w:r>
        <w:rPr>
          <w:rFonts w:hint="eastAsia" w:ascii="仿宋_GB2312" w:hAnsi="仿宋_GB2312" w:eastAsia="仿宋_GB2312" w:cs="仿宋_GB2312"/>
          <w:color w:val="000000"/>
          <w:sz w:val="28"/>
          <w:szCs w:val="28"/>
        </w:rPr>
        <w:t>，板材尺寸不小于（长x宽x高）700mmx350mmx32mm，板的两面都有安装槽，格栅间隔不小于50mm，槽兼容ITEM型材设备，用于安装工作单元的所有部件</w:t>
      </w:r>
      <w:r>
        <w:rPr>
          <w:rFonts w:hint="eastAsia" w:ascii="仿宋_GB2312" w:hAnsi="仿宋_GB2312" w:eastAsia="仿宋_GB2312" w:cs="仿宋_GB2312"/>
          <w:sz w:val="28"/>
          <w:szCs w:val="28"/>
        </w:rPr>
        <w:t>。</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rPr>
      </w:pPr>
      <w:r>
        <w:rPr>
          <w:rStyle w:val="17"/>
          <w:rFonts w:hint="eastAsia" w:ascii="仿宋_GB2312" w:hAnsi="仿宋_GB2312" w:eastAsia="仿宋_GB2312" w:cs="仿宋_GB2312"/>
          <w:sz w:val="28"/>
          <w:szCs w:val="28"/>
        </w:rPr>
        <w:t>▲4、提取/安装工作单元必需包括下列主要组成部分（要求提供相关技术证明文件或设备实物相片。）</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（1）提取放置模块:2个自由度的通用提取装置，用于"提取和摆放"任务。行程长度、轴倾斜度、末端位置传感器的配置及安装位置均可调整。 此模块整装供应吸盘、压力开关、真空过滤器和真空发生器； </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（2）包括安装附件、传感器和电缆。</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工作模块：双作用，工作模式驱动单元：电磁，结构设计：电磁运动、杆直径≤6mm、行程50mm-80mm、气动连接M5，位置检测：接近式传感器，缓冲：两端的弹性缓冲圈，固定类型：通孔和内螺纹，装配位置：任意，工作压力：1.5-10bar，移动质量≥76g；</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真空发生器：结构设计：笔直设计，固定类型：直线安装，组装位置：任意，工作压力1-8bar、工作介质：过滤的、无油份的压缩空气、过滤精度40μm，气动连接口1QS-6，气动连接口3非管道，耐腐蚀等级CRC1，喷射器特性：高真空、最大真空率不低于86%、拉瓦尔喷嘴公称尺寸≤0.45mm，真空连接QS-6、材料注释为无铜和聚四氟乙烯；</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（5）传送带：直流电机驱动，安装在型材板或型材支脚上的传送带。用于传送直径≤40mm 加工工件（如“气缸缸体”或“气缸组装件”）或传送工件托盘等。电机：额定电压≤24V、额定电流1.5A、额定转轴速度65r.p.m、额定扭矩1Nm、可逆性、启动扭矩7Nm、连接2个。</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Style w:val="17"/>
          <w:rFonts w:hint="eastAsia" w:ascii="仿宋_GB2312" w:hAnsi="仿宋_GB2312" w:eastAsia="仿宋_GB2312" w:cs="仿宋_GB2312"/>
          <w:sz w:val="28"/>
          <w:szCs w:val="28"/>
        </w:rPr>
        <w:t>5、IO接线端功能：</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560" w:firstLineChars="200"/>
        <w:textAlignment w:val="auto"/>
        <w:rPr>
          <w:rStyle w:val="17"/>
          <w:rFonts w:hint="eastAsia" w:ascii="仿宋_GB2312" w:hAnsi="仿宋_GB2312" w:eastAsia="仿宋_GB2312" w:cs="仿宋_GB2312"/>
          <w:sz w:val="28"/>
          <w:szCs w:val="28"/>
        </w:rPr>
      </w:pPr>
      <w:r>
        <w:rPr>
          <w:rFonts w:hint="eastAsia" w:ascii="仿宋_GB2312" w:hAnsi="仿宋_GB2312" w:eastAsia="仿宋_GB2312" w:cs="仿宋_GB2312"/>
          <w:sz w:val="28"/>
          <w:szCs w:val="28"/>
        </w:rPr>
        <w:t>智能化接口技术。系统接口的设计满足可以将两个模块方便地通过SysLink连接在一个PLC上。如果模块配有模拟信号，可以通过15针D-Sub插口获取这些信号。</w:t>
      </w:r>
      <w:r>
        <w:rPr>
          <w:rStyle w:val="17"/>
          <w:rFonts w:hint="eastAsia" w:ascii="仿宋_GB2312" w:hAnsi="仿宋_GB2312" w:eastAsia="仿宋_GB2312" w:cs="仿宋_GB2312"/>
          <w:sz w:val="28"/>
          <w:szCs w:val="28"/>
        </w:rPr>
        <w:t>投标现场需展示接线端实物，证明其智能化接口技术与技术参数要求的符合性。</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24针IEEE插口（SysLink）；15针Sub-D插口；2x15针D-Sub-HD插口；</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LED状态指示灯；尺寸（高x深）：≤68x77mm</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rPr>
      </w:pPr>
      <w:r>
        <w:rPr>
          <w:rStyle w:val="17"/>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t>▲</w:t>
      </w:r>
      <w:r>
        <w:rPr>
          <w:rStyle w:val="17"/>
          <w:rFonts w:hint="eastAsia" w:ascii="仿宋_GB2312" w:hAnsi="仿宋_GB2312" w:eastAsia="仿宋_GB2312" w:cs="仿宋_GB2312"/>
          <w:sz w:val="28"/>
          <w:szCs w:val="28"/>
        </w:rPr>
        <w:t>提取/放置工作单元应具备的扩展控制方式和模块间互换功能：</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（1）扩展控制方式：计算机通过仿真软件与接口盒进行连接，并通过接口协议进行控制。</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（2）模块间互换功能：各个工作单元上的不同功能模块可以任意拆卸下来组合成新的工作单元，并能与其他工作单元配合使用，完成相应工作任务。</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562" w:firstLineChars="200"/>
        <w:textAlignment w:val="auto"/>
        <w:rPr>
          <w:rFonts w:hint="eastAsia" w:ascii="仿宋_GB2312" w:hAnsi="仿宋_GB2312" w:eastAsia="仿宋_GB2312" w:cs="仿宋_GB2312"/>
          <w:sz w:val="28"/>
          <w:szCs w:val="28"/>
        </w:rPr>
      </w:pPr>
      <w:r>
        <w:rPr>
          <w:rStyle w:val="17"/>
          <w:rFonts w:hint="eastAsia" w:ascii="仿宋_GB2312" w:hAnsi="仿宋_GB2312" w:eastAsia="仿宋_GB2312" w:cs="仿宋_GB2312"/>
          <w:sz w:val="28"/>
          <w:szCs w:val="28"/>
        </w:rPr>
        <w:t>以上要求需现场提供视频演示或者其他证明文件。</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562" w:firstLineChars="200"/>
        <w:textAlignment w:val="auto"/>
        <w:rPr>
          <w:rFonts w:hint="eastAsia" w:ascii="仿宋_GB2312" w:hAnsi="仿宋_GB2312" w:eastAsia="仿宋_GB2312" w:cs="仿宋_GB2312"/>
          <w:sz w:val="28"/>
          <w:szCs w:val="28"/>
        </w:rPr>
      </w:pPr>
      <w:r>
        <w:rPr>
          <w:rStyle w:val="17"/>
          <w:rFonts w:hint="eastAsia" w:ascii="仿宋_GB2312" w:hAnsi="仿宋_GB2312" w:eastAsia="仿宋_GB2312" w:cs="仿宋_GB2312"/>
          <w:sz w:val="28"/>
          <w:szCs w:val="28"/>
        </w:rPr>
        <w:t>7、配套操作开关板：</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完整的控制面板应具备控制面板组件，通讯面板组件、备用面板组件和接口支架组成；</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面板包括各种按键：复膜按键；启动键；停止键；复位键≥2个可任意指定的控制灯；显示方式：LED显示。</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562" w:firstLineChars="200"/>
        <w:textAlignment w:val="auto"/>
        <w:rPr>
          <w:rFonts w:hint="eastAsia" w:ascii="仿宋_GB2312" w:hAnsi="仿宋_GB2312" w:eastAsia="仿宋_GB2312" w:cs="仿宋_GB2312"/>
          <w:sz w:val="28"/>
          <w:szCs w:val="28"/>
        </w:rPr>
      </w:pPr>
      <w:r>
        <w:rPr>
          <w:rStyle w:val="17"/>
          <w:rFonts w:hint="eastAsia" w:ascii="仿宋_GB2312" w:hAnsi="仿宋_GB2312" w:eastAsia="仿宋_GB2312" w:cs="仿宋_GB2312"/>
          <w:sz w:val="28"/>
          <w:szCs w:val="28"/>
        </w:rPr>
        <w:t>8、配套工作站底车：</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使用底车需构成紧凑、可移动的机电一体化实训设备工作单元。工作单元应用部分及PLC控制板应可以方便的安装在底车上。底车前侧应可固定控制面板。底车应装有脚轮。高度:≥750mm、宽度:≥350mm、深度:≥700mm</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562" w:firstLineChars="200"/>
        <w:textAlignment w:val="auto"/>
        <w:rPr>
          <w:rFonts w:hint="eastAsia" w:ascii="仿宋_GB2312" w:hAnsi="仿宋_GB2312" w:eastAsia="仿宋_GB2312" w:cs="仿宋_GB2312"/>
          <w:sz w:val="28"/>
          <w:szCs w:val="28"/>
        </w:rPr>
      </w:pPr>
      <w:r>
        <w:rPr>
          <w:rStyle w:val="17"/>
          <w:rFonts w:hint="eastAsia" w:ascii="仿宋_GB2312" w:hAnsi="仿宋_GB2312" w:eastAsia="仿宋_GB2312" w:cs="仿宋_GB2312"/>
          <w:sz w:val="28"/>
          <w:szCs w:val="28"/>
        </w:rPr>
        <w:t>9、配套稳压电源:</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输入电压：220/115VAC(47–63Hz)；输出电压：24VDC，短路保护；</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输出电流：最大不超过4.5A；电源线：≥1.3m</w:t>
      </w:r>
    </w:p>
    <w:p>
      <w:pPr>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textAlignment w:val="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lang w:eastAsia="zh-CN"/>
        </w:rPr>
        <w:t>10、配套控制模块1512</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带支撑脚机架，台式，尺寸型号，宽x高：305mmx300mm（±3%）</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集成市场通用编程控制器：19"模块模拟板，带2xSysLink接口，用于工作单元和控制面板，各有8个数字量输入和8个数字量输出；1x Sub-D15针接口，带4个模拟量输入和2个模拟量输出；急停跳线，用于连接安全回路以断开8个数字量输出。可以在实验台或在工作站上使用，稳定、粉末涂层、薄钢板支架系统，可以使用19"模拟模块进行扩展。本模块还含有配套编程器（联想ThinkPad X1 Carbon2020 4G版；配置不低于14英寸、十代i7、16G、1TSSD4K）。</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CPU：S7-1512C-1PN；内存：250KB用于程序，1MB用于数据；包括存储卡；</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接口：PROFINET IRT，带2个交换机端口；</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输入/输出端：</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32x数字输入端（24VDC）；</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32x数字输出端（24VDC/0.5A）</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5x模拟输入端，4xU/I，1xR/RTD，16位分辨率；</w:t>
      </w:r>
    </w:p>
    <w:p>
      <w:pPr>
        <w:pStyle w:val="12"/>
        <w:keepNext w:val="0"/>
        <w:keepLines w:val="0"/>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2x模拟量输出端，2xU/I，16位分辨率</w:t>
      </w:r>
    </w:p>
    <w:p>
      <w:pPr>
        <w:pStyle w:val="30"/>
        <w:keepNext w:val="0"/>
        <w:keepLines w:val="0"/>
        <w:pageBreakBefore w:val="0"/>
        <w:widowControl w:val="0"/>
        <w:kinsoku/>
        <w:wordWrap/>
        <w:overflowPunct/>
        <w:topLinePunct w:val="0"/>
        <w:autoSpaceDE/>
        <w:autoSpaceDN/>
        <w:bidi w:val="0"/>
        <w:adjustRightInd w:val="0"/>
        <w:snapToGrid w:val="0"/>
        <w:spacing w:line="400" w:lineRule="exact"/>
        <w:ind w:firstLine="562" w:firstLineChars="200"/>
        <w:textAlignment w:val="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lang w:eastAsia="zh-CN"/>
        </w:rPr>
        <w:t>本项目包含一套训练配件</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1、2*数字量I/O端子</w:t>
      </w:r>
    </w:p>
    <w:p>
      <w:pPr>
        <w:keepNext w:val="0"/>
        <w:keepLines w:val="0"/>
        <w:pageBreakBefore w:val="0"/>
        <w:widowControl w:val="0"/>
        <w:shd w:val="clear" w:color="auto" w:fill="FFFFFF"/>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000000"/>
          <w:sz w:val="28"/>
          <w:szCs w:val="28"/>
          <w:shd w:val="clear" w:color="auto" w:fill="FFFFFF"/>
          <w:lang w:eastAsia="zh-CN"/>
        </w:rPr>
      </w:pPr>
      <w:r>
        <w:rPr>
          <w:rFonts w:hint="eastAsia" w:ascii="仿宋_GB2312" w:hAnsi="仿宋_GB2312" w:eastAsia="仿宋_GB2312" w:cs="仿宋_GB2312"/>
          <w:color w:val="000000"/>
          <w:sz w:val="28"/>
          <w:szCs w:val="28"/>
          <w:shd w:val="clear" w:color="auto" w:fill="FFFFFF"/>
        </w:rPr>
        <w:t>该I/O端子是SysLink方案的核心单元。它用于连接8个数字输入/输出端，所有端口与SysLink接口相连。接触通过弹簧端子实现。为了方便地检查开关状态和系统化故障查询，输入和输出端子装有LED指示。可以安装在安装导轨上</w:t>
      </w:r>
      <w:r>
        <w:rPr>
          <w:rFonts w:hint="eastAsia" w:ascii="仿宋_GB2312" w:hAnsi="仿宋_GB2312" w:eastAsia="仿宋_GB2312" w:cs="仿宋_GB2312"/>
          <w:color w:val="000000"/>
          <w:sz w:val="28"/>
          <w:szCs w:val="28"/>
          <w:shd w:val="clear" w:color="auto" w:fill="FFFFFF"/>
          <w:lang w:eastAsia="zh-CN"/>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Cs/>
          <w:color w:val="000000"/>
          <w:sz w:val="28"/>
          <w:szCs w:val="28"/>
          <w:lang w:val="en-US" w:eastAsia="zh-CN"/>
        </w:rPr>
        <w:t>技术数据：</w:t>
      </w:r>
    </w:p>
    <w:p>
      <w:pPr>
        <w:keepNext w:val="0"/>
        <w:keepLines w:val="0"/>
        <w:pageBreakBefore w:val="0"/>
        <w:widowControl w:val="0"/>
        <w:shd w:val="clear" w:color="auto" w:fill="FFFFFF"/>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24V/0V</w:t>
      </w:r>
      <w:r>
        <w:rPr>
          <w:rFonts w:hint="eastAsia" w:ascii="仿宋_GB2312" w:hAnsi="仿宋_GB2312" w:eastAsia="仿宋_GB2312" w:cs="仿宋_GB2312"/>
          <w:color w:val="000000"/>
          <w:sz w:val="28"/>
          <w:szCs w:val="28"/>
          <w:lang w:val="en-US" w:eastAsia="zh-CN"/>
        </w:rPr>
        <w:t>端子输入端</w:t>
      </w:r>
      <w:r>
        <w:rPr>
          <w:rFonts w:hint="eastAsia" w:ascii="仿宋_GB2312" w:hAnsi="仿宋_GB2312" w:eastAsia="仿宋_GB2312" w:cs="仿宋_GB2312"/>
          <w:color w:val="000000"/>
          <w:sz w:val="28"/>
          <w:szCs w:val="28"/>
          <w:lang w:eastAsia="zh-CN"/>
        </w:rPr>
        <w:t>：8；</w:t>
      </w:r>
      <w:r>
        <w:rPr>
          <w:rFonts w:hint="eastAsia" w:ascii="仿宋_GB2312" w:hAnsi="仿宋_GB2312" w:eastAsia="仿宋_GB2312" w:cs="仿宋_GB2312"/>
          <w:color w:val="000000"/>
          <w:sz w:val="28"/>
          <w:szCs w:val="28"/>
          <w:lang w:val="en-US" w:eastAsia="zh-CN"/>
        </w:rPr>
        <w:t>输出端</w:t>
      </w:r>
      <w:r>
        <w:rPr>
          <w:rFonts w:hint="eastAsia" w:ascii="仿宋_GB2312" w:hAnsi="仿宋_GB2312" w:eastAsia="仿宋_GB2312" w:cs="仿宋_GB2312"/>
          <w:color w:val="000000"/>
          <w:sz w:val="28"/>
          <w:szCs w:val="28"/>
          <w:lang w:eastAsia="zh-CN"/>
        </w:rPr>
        <w:t>：8；</w:t>
      </w:r>
      <w:r>
        <w:rPr>
          <w:rFonts w:hint="eastAsia" w:ascii="仿宋_GB2312" w:hAnsi="仿宋_GB2312" w:eastAsia="仿宋_GB2312" w:cs="仿宋_GB2312"/>
          <w:color w:val="000000"/>
          <w:sz w:val="28"/>
          <w:szCs w:val="28"/>
          <w:lang w:val="en-US" w:eastAsia="zh-CN"/>
        </w:rPr>
        <w:t>弹簧端子</w:t>
      </w:r>
      <w:r>
        <w:rPr>
          <w:rFonts w:hint="eastAsia" w:ascii="仿宋_GB2312" w:hAnsi="仿宋_GB2312" w:eastAsia="仿宋_GB2312" w:cs="仿宋_GB2312"/>
          <w:color w:val="000000"/>
          <w:sz w:val="28"/>
          <w:szCs w:val="28"/>
          <w:lang w:eastAsia="zh-CN"/>
        </w:rPr>
        <w:t>：0.2–1.5mm</w:t>
      </w:r>
      <w:r>
        <w:rPr>
          <w:rFonts w:hint="eastAsia" w:ascii="仿宋_GB2312" w:hAnsi="仿宋_GB2312" w:eastAsia="仿宋_GB2312" w:cs="仿宋_GB2312"/>
          <w:color w:val="000000"/>
          <w:sz w:val="28"/>
          <w:szCs w:val="28"/>
          <w:vertAlign w:val="superscript"/>
          <w:lang w:eastAsia="zh-CN"/>
        </w:rPr>
        <w:t>2</w:t>
      </w:r>
      <w:r>
        <w:rPr>
          <w:rFonts w:hint="eastAsia" w:ascii="仿宋_GB2312" w:hAnsi="仿宋_GB2312" w:eastAsia="仿宋_GB2312" w:cs="仿宋_GB2312"/>
          <w:color w:val="000000"/>
          <w:sz w:val="28"/>
          <w:szCs w:val="28"/>
          <w:lang w:eastAsia="zh-CN"/>
        </w:rPr>
        <w:t>；24</w:t>
      </w:r>
      <w:r>
        <w:rPr>
          <w:rFonts w:hint="eastAsia" w:ascii="仿宋_GB2312" w:hAnsi="仿宋_GB2312" w:eastAsia="仿宋_GB2312" w:cs="仿宋_GB2312"/>
          <w:color w:val="000000"/>
          <w:sz w:val="28"/>
          <w:szCs w:val="28"/>
          <w:lang w:val="en-US" w:eastAsia="zh-CN"/>
        </w:rPr>
        <w:t>针</w:t>
      </w:r>
      <w:r>
        <w:rPr>
          <w:rFonts w:hint="eastAsia" w:ascii="仿宋_GB2312" w:hAnsi="仿宋_GB2312" w:eastAsia="仿宋_GB2312" w:cs="仿宋_GB2312"/>
          <w:color w:val="000000"/>
          <w:sz w:val="28"/>
          <w:szCs w:val="28"/>
          <w:lang w:eastAsia="zh-CN"/>
        </w:rPr>
        <w:t>IEEE</w:t>
      </w:r>
      <w:r>
        <w:rPr>
          <w:rFonts w:hint="eastAsia" w:ascii="仿宋_GB2312" w:hAnsi="仿宋_GB2312" w:eastAsia="仿宋_GB2312" w:cs="仿宋_GB2312"/>
          <w:color w:val="000000"/>
          <w:sz w:val="28"/>
          <w:szCs w:val="28"/>
          <w:lang w:val="en-US" w:eastAsia="zh-CN"/>
        </w:rPr>
        <w:t>插口</w:t>
      </w:r>
      <w:r>
        <w:rPr>
          <w:rFonts w:hint="eastAsia" w:ascii="仿宋_GB2312" w:hAnsi="仿宋_GB2312" w:eastAsia="仿宋_GB2312" w:cs="仿宋_GB2312"/>
          <w:color w:val="000000"/>
          <w:sz w:val="28"/>
          <w:szCs w:val="28"/>
          <w:lang w:eastAsia="zh-CN"/>
        </w:rPr>
        <w:t>（SysLink）；</w:t>
      </w:r>
      <w:r>
        <w:rPr>
          <w:rFonts w:hint="eastAsia" w:ascii="仿宋_GB2312" w:hAnsi="仿宋_GB2312" w:eastAsia="仿宋_GB2312" w:cs="仿宋_GB2312"/>
          <w:color w:val="000000"/>
          <w:sz w:val="28"/>
          <w:szCs w:val="28"/>
          <w:lang w:val="en-US" w:eastAsia="zh-CN"/>
        </w:rPr>
        <w:t>状态</w:t>
      </w:r>
      <w:r>
        <w:rPr>
          <w:rFonts w:hint="eastAsia" w:ascii="仿宋_GB2312" w:hAnsi="仿宋_GB2312" w:eastAsia="仿宋_GB2312" w:cs="仿宋_GB2312"/>
          <w:color w:val="000000"/>
          <w:sz w:val="28"/>
          <w:szCs w:val="28"/>
          <w:lang w:eastAsia="zh-CN"/>
        </w:rPr>
        <w:t>LED</w:t>
      </w:r>
      <w:r>
        <w:rPr>
          <w:rFonts w:hint="eastAsia" w:ascii="仿宋_GB2312" w:hAnsi="仿宋_GB2312" w:eastAsia="仿宋_GB2312" w:cs="仿宋_GB2312"/>
          <w:color w:val="000000"/>
          <w:sz w:val="28"/>
          <w:szCs w:val="28"/>
          <w:lang w:val="en-US" w:eastAsia="zh-CN"/>
        </w:rPr>
        <w:t>指示灯；尺寸</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高</w:t>
      </w:r>
      <w:r>
        <w:rPr>
          <w:rFonts w:hint="eastAsia" w:ascii="仿宋_GB2312" w:hAnsi="仿宋_GB2312" w:eastAsia="仿宋_GB2312" w:cs="仿宋_GB2312"/>
          <w:color w:val="000000"/>
          <w:sz w:val="28"/>
          <w:szCs w:val="28"/>
          <w:lang w:eastAsia="zh-CN"/>
        </w:rPr>
        <w:t>x</w:t>
      </w:r>
      <w:r>
        <w:rPr>
          <w:rFonts w:hint="eastAsia" w:ascii="仿宋_GB2312" w:hAnsi="仿宋_GB2312" w:eastAsia="仿宋_GB2312" w:cs="仿宋_GB2312"/>
          <w:color w:val="000000"/>
          <w:sz w:val="28"/>
          <w:szCs w:val="28"/>
          <w:lang w:val="en-US" w:eastAsia="zh-CN"/>
        </w:rPr>
        <w:t>深</w:t>
      </w:r>
      <w:r>
        <w:rPr>
          <w:rFonts w:hint="eastAsia" w:ascii="仿宋_GB2312" w:hAnsi="仿宋_GB2312" w:eastAsia="仿宋_GB2312" w:cs="仿宋_GB2312"/>
          <w:color w:val="000000"/>
          <w:sz w:val="28"/>
          <w:szCs w:val="28"/>
          <w:lang w:eastAsia="zh-CN"/>
        </w:rPr>
        <w:t>）：68x77mm。</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2、2*模拟量I/O端子</w:t>
      </w:r>
    </w:p>
    <w:p>
      <w:pPr>
        <w:pStyle w:val="30"/>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000000"/>
          <w:sz w:val="28"/>
          <w:szCs w:val="28"/>
          <w:shd w:val="clear" w:color="auto" w:fill="FFFFFF"/>
          <w:lang w:eastAsia="zh-CN"/>
        </w:rPr>
      </w:pPr>
      <w:r>
        <w:rPr>
          <w:rFonts w:hint="eastAsia" w:ascii="仿宋_GB2312" w:hAnsi="仿宋_GB2312" w:eastAsia="仿宋_GB2312" w:cs="仿宋_GB2312"/>
          <w:color w:val="000000"/>
          <w:sz w:val="28"/>
          <w:szCs w:val="28"/>
          <w:shd w:val="clear" w:color="auto" w:fill="FFFFFF"/>
        </w:rPr>
        <w:t>模拟信号通过一个带15针D-Sub插口的特殊模拟端子获取。该端子用于连接4个模拟输入端和2个模拟输出端，所有端口与共同的模拟量终端接口相连。接触通过弹簧端子实现。为了方便地检查状态和系统化故障查询，安装了输入和输出端子 LED。整个模块可以安装到安装导轨上。</w:t>
      </w:r>
    </w:p>
    <w:p>
      <w:pPr>
        <w:keepNext w:val="0"/>
        <w:keepLines w:val="0"/>
        <w:pageBreakBefore w:val="0"/>
        <w:widowControl w:val="0"/>
        <w:shd w:val="clear" w:color="auto" w:fill="FFFFFF"/>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Cs/>
          <w:color w:val="000000"/>
          <w:sz w:val="28"/>
          <w:szCs w:val="28"/>
          <w:lang w:val="en-US" w:eastAsia="zh-CN"/>
        </w:rPr>
        <w:t>技术数据：</w:t>
      </w:r>
    </w:p>
    <w:p>
      <w:pPr>
        <w:keepNext w:val="0"/>
        <w:keepLines w:val="0"/>
        <w:pageBreakBefore w:val="0"/>
        <w:widowControl w:val="0"/>
        <w:shd w:val="clear" w:color="auto" w:fill="FFFFFF"/>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24V/0V端子；电流输入端：4；电流输出端：2；电压输入端：4；电压输出端：2；</w:t>
      </w:r>
    </w:p>
    <w:p>
      <w:pPr>
        <w:keepNext w:val="0"/>
        <w:keepLines w:val="0"/>
        <w:pageBreakBefore w:val="0"/>
        <w:widowControl w:val="0"/>
        <w:shd w:val="clear" w:color="auto" w:fill="FFFFFF"/>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弹簧端子：0.2–1.5mm</w:t>
      </w:r>
      <w:r>
        <w:rPr>
          <w:rFonts w:hint="eastAsia" w:ascii="仿宋_GB2312" w:hAnsi="仿宋_GB2312" w:eastAsia="仿宋_GB2312" w:cs="仿宋_GB2312"/>
          <w:color w:val="000000"/>
          <w:sz w:val="28"/>
          <w:szCs w:val="28"/>
          <w:vertAlign w:val="superscript"/>
          <w:lang w:val="en-US" w:eastAsia="zh-CN"/>
        </w:rPr>
        <w:t>2</w:t>
      </w:r>
      <w:r>
        <w:rPr>
          <w:rFonts w:hint="eastAsia" w:ascii="仿宋_GB2312" w:hAnsi="仿宋_GB2312" w:eastAsia="仿宋_GB2312" w:cs="仿宋_GB2312"/>
          <w:color w:val="000000"/>
          <w:sz w:val="28"/>
          <w:szCs w:val="28"/>
          <w:lang w:val="en-US" w:eastAsia="zh-CN"/>
        </w:rPr>
        <w:t>；15针Sub-D插口；LED状态指示灯；</w:t>
      </w:r>
    </w:p>
    <w:p>
      <w:pPr>
        <w:keepNext w:val="0"/>
        <w:keepLines w:val="0"/>
        <w:pageBreakBefore w:val="0"/>
        <w:widowControl w:val="0"/>
        <w:shd w:val="clear" w:color="auto" w:fill="FFFFFF"/>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尺寸（高x深）：68x77mm。</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3、2*微型I/O端子，垂直</w:t>
      </w:r>
    </w:p>
    <w:p>
      <w:pPr>
        <w:pStyle w:val="30"/>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000000"/>
          <w:sz w:val="28"/>
          <w:szCs w:val="28"/>
          <w:shd w:val="clear" w:color="auto" w:fill="FFFFFF"/>
          <w:lang w:eastAsia="zh-CN"/>
        </w:rPr>
      </w:pPr>
      <w:r>
        <w:rPr>
          <w:rFonts w:hint="eastAsia" w:ascii="仿宋_GB2312" w:hAnsi="仿宋_GB2312" w:eastAsia="仿宋_GB2312" w:cs="仿宋_GB2312"/>
          <w:color w:val="000000"/>
          <w:sz w:val="28"/>
          <w:szCs w:val="28"/>
          <w:shd w:val="clear" w:color="auto" w:fill="FFFFFF"/>
        </w:rPr>
        <w:t>微型I/O端子是®模块的核心单元。该端子用于连接4个数字量输入/输出端，2 个模拟量输入端和1个模拟量输出端；所有端口都与一个共同插口相连。接触通过弹簧端子实现。为了方便地检查开关状态和系统化故障查询，输入和输出端子装有 LED 指示。整个模块可以安装到安装导轨上。</w:t>
      </w:r>
    </w:p>
    <w:p>
      <w:pPr>
        <w:keepNext w:val="0"/>
        <w:keepLines w:val="0"/>
        <w:pageBreakBefore w:val="0"/>
        <w:widowControl w:val="0"/>
        <w:shd w:val="clear" w:color="auto" w:fill="FFFFFF"/>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Cs/>
          <w:color w:val="000000"/>
          <w:sz w:val="28"/>
          <w:szCs w:val="28"/>
          <w:lang w:val="en-US" w:eastAsia="zh-CN"/>
        </w:rPr>
        <w:t>技术数据：</w:t>
      </w:r>
    </w:p>
    <w:p>
      <w:pPr>
        <w:keepNext w:val="0"/>
        <w:keepLines w:val="0"/>
        <w:pageBreakBefore w:val="0"/>
        <w:widowControl w:val="0"/>
        <w:shd w:val="clear" w:color="auto" w:fill="FFFFFF"/>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24V/0V端子；输入端：4；数字输出端：4；模拟输入端：2；模拟输出端：1；</w:t>
      </w:r>
    </w:p>
    <w:p>
      <w:pPr>
        <w:keepNext w:val="0"/>
        <w:keepLines w:val="0"/>
        <w:pageBreakBefore w:val="0"/>
        <w:widowControl w:val="0"/>
        <w:shd w:val="clear" w:color="auto" w:fill="FFFFFF"/>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弹簧端子：0.2–0.5mm</w:t>
      </w:r>
      <w:r>
        <w:rPr>
          <w:rFonts w:hint="eastAsia" w:ascii="仿宋_GB2312" w:hAnsi="仿宋_GB2312" w:eastAsia="仿宋_GB2312" w:cs="仿宋_GB2312"/>
          <w:color w:val="000000"/>
          <w:sz w:val="28"/>
          <w:szCs w:val="28"/>
          <w:vertAlign w:val="superscript"/>
          <w:lang w:val="en-US" w:eastAsia="zh-CN"/>
        </w:rPr>
        <w:t>2</w:t>
      </w:r>
      <w:r>
        <w:rPr>
          <w:rFonts w:hint="eastAsia" w:ascii="仿宋_GB2312" w:hAnsi="仿宋_GB2312" w:eastAsia="仿宋_GB2312" w:cs="仿宋_GB2312"/>
          <w:color w:val="000000"/>
          <w:sz w:val="28"/>
          <w:szCs w:val="28"/>
          <w:lang w:val="en-US" w:eastAsia="zh-CN"/>
        </w:rPr>
        <w:t>；15针Sub-DHD插口；LED状态指示灯；</w:t>
      </w:r>
    </w:p>
    <w:p>
      <w:pPr>
        <w:keepNext w:val="0"/>
        <w:keepLines w:val="0"/>
        <w:pageBreakBefore w:val="0"/>
        <w:widowControl w:val="0"/>
        <w:shd w:val="clear" w:color="auto" w:fill="FFFFFF"/>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lang w:val="en-US" w:eastAsia="zh-CN"/>
        </w:rPr>
        <w:t>尺寸（高x深）：45x77mm；</w:t>
      </w:r>
      <w:r>
        <w:rPr>
          <w:rFonts w:hint="eastAsia" w:ascii="仿宋_GB2312" w:hAnsi="仿宋_GB2312" w:eastAsia="仿宋_GB2312" w:cs="仿宋_GB2312"/>
          <w:color w:val="000000"/>
          <w:sz w:val="28"/>
          <w:szCs w:val="28"/>
          <w:shd w:val="clear" w:color="auto" w:fill="FFFFFF"/>
        </w:rPr>
        <w:t>15针Sub-D插口，90°垂直于电路板安装</w:t>
      </w:r>
      <w:r>
        <w:rPr>
          <w:rFonts w:hint="eastAsia" w:ascii="仿宋_GB2312" w:hAnsi="仿宋_GB2312" w:eastAsia="仿宋_GB2312" w:cs="仿宋_GB2312"/>
          <w:color w:val="000000"/>
          <w:sz w:val="28"/>
          <w:szCs w:val="28"/>
          <w:shd w:val="clear" w:color="auto" w:fill="FFFFFF"/>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4、2*微型I/O端子，水平</w:t>
      </w:r>
    </w:p>
    <w:p>
      <w:pPr>
        <w:pStyle w:val="30"/>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000000"/>
          <w:sz w:val="28"/>
          <w:szCs w:val="28"/>
          <w:shd w:val="clear" w:color="auto" w:fill="FFFFFF"/>
          <w:lang w:eastAsia="zh-CN"/>
        </w:rPr>
      </w:pPr>
      <w:r>
        <w:rPr>
          <w:rFonts w:hint="eastAsia" w:ascii="仿宋_GB2312" w:hAnsi="仿宋_GB2312" w:eastAsia="仿宋_GB2312" w:cs="仿宋_GB2312"/>
          <w:color w:val="000000"/>
          <w:sz w:val="28"/>
          <w:szCs w:val="28"/>
          <w:shd w:val="clear" w:color="auto" w:fill="FFFFFF"/>
        </w:rPr>
        <w:t>微型I/O端子是®模块的核心单元。该端子用于连接4个数字量输入/输出端，2个模拟量输入端和1个模拟量输出端；所有端口都与一个共同插口相连。接触通过弹簧端子实现。为了方便地检查开关状态和系统化故障查询，输入和输出端子装有LED指示。整个模块可以安装到安装导轨上。</w:t>
      </w:r>
    </w:p>
    <w:p>
      <w:pPr>
        <w:keepNext w:val="0"/>
        <w:keepLines w:val="0"/>
        <w:pageBreakBefore w:val="0"/>
        <w:widowControl w:val="0"/>
        <w:shd w:val="clear" w:color="auto" w:fill="FFFFFF"/>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Cs/>
          <w:color w:val="000000"/>
          <w:sz w:val="28"/>
          <w:szCs w:val="28"/>
          <w:lang w:val="en-US" w:eastAsia="zh-CN"/>
        </w:rPr>
        <w:t>技术数据：</w:t>
      </w:r>
    </w:p>
    <w:p>
      <w:pPr>
        <w:keepNext w:val="0"/>
        <w:keepLines w:val="0"/>
        <w:pageBreakBefore w:val="0"/>
        <w:widowControl w:val="0"/>
        <w:shd w:val="clear" w:color="auto" w:fill="FFFFFF"/>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24V/0V端子；输入端：4；数字输出端：4；模拟输入端：2；模拟输出端：1；</w:t>
      </w:r>
    </w:p>
    <w:p>
      <w:pPr>
        <w:keepNext w:val="0"/>
        <w:keepLines w:val="0"/>
        <w:pageBreakBefore w:val="0"/>
        <w:widowControl w:val="0"/>
        <w:shd w:val="clear" w:color="auto" w:fill="FFFFFF"/>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弹簧端子：0.2–0.5mm</w:t>
      </w:r>
      <w:r>
        <w:rPr>
          <w:rFonts w:hint="eastAsia" w:ascii="仿宋_GB2312" w:hAnsi="仿宋_GB2312" w:eastAsia="仿宋_GB2312" w:cs="仿宋_GB2312"/>
          <w:color w:val="000000"/>
          <w:sz w:val="28"/>
          <w:szCs w:val="28"/>
          <w:vertAlign w:val="superscript"/>
          <w:lang w:val="en-US" w:eastAsia="zh-CN"/>
        </w:rPr>
        <w:t>2</w:t>
      </w:r>
      <w:r>
        <w:rPr>
          <w:rFonts w:hint="eastAsia" w:ascii="仿宋_GB2312" w:hAnsi="仿宋_GB2312" w:eastAsia="仿宋_GB2312" w:cs="仿宋_GB2312"/>
          <w:color w:val="000000"/>
          <w:sz w:val="28"/>
          <w:szCs w:val="28"/>
          <w:lang w:val="en-US" w:eastAsia="zh-CN"/>
        </w:rPr>
        <w:t>；15针Sub-DHD插口；LED状态指示灯；</w:t>
      </w:r>
    </w:p>
    <w:p>
      <w:pPr>
        <w:keepNext w:val="0"/>
        <w:keepLines w:val="0"/>
        <w:pageBreakBefore w:val="0"/>
        <w:widowControl w:val="0"/>
        <w:shd w:val="clear" w:color="auto" w:fill="FFFFFF"/>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lang w:val="en-US" w:eastAsia="zh-CN"/>
        </w:rPr>
        <w:t>尺寸（高x深）：45x77mm；</w:t>
      </w:r>
      <w:r>
        <w:rPr>
          <w:rFonts w:hint="eastAsia" w:ascii="仿宋_GB2312" w:hAnsi="仿宋_GB2312" w:eastAsia="仿宋_GB2312" w:cs="仿宋_GB2312"/>
          <w:color w:val="000000"/>
          <w:sz w:val="28"/>
          <w:szCs w:val="28"/>
          <w:shd w:val="clear" w:color="auto" w:fill="FFFFFF"/>
        </w:rPr>
        <w:t>15针Sub-D</w:t>
      </w:r>
      <w:r>
        <w:rPr>
          <w:rFonts w:hint="eastAsia" w:ascii="仿宋_GB2312" w:hAnsi="仿宋_GB2312" w:eastAsia="仿宋_GB2312" w:cs="仿宋_GB2312"/>
          <w:color w:val="000000"/>
          <w:sz w:val="28"/>
          <w:szCs w:val="28"/>
          <w:lang w:val="en-US" w:eastAsia="zh-CN"/>
        </w:rPr>
        <w:t>HD</w:t>
      </w:r>
      <w:r>
        <w:rPr>
          <w:rFonts w:hint="eastAsia" w:ascii="仿宋_GB2312" w:hAnsi="仿宋_GB2312" w:eastAsia="仿宋_GB2312" w:cs="仿宋_GB2312"/>
          <w:color w:val="000000"/>
          <w:sz w:val="28"/>
          <w:szCs w:val="28"/>
          <w:shd w:val="clear" w:color="auto" w:fill="FFFFFF"/>
        </w:rPr>
        <w:t>插口，水平安装</w:t>
      </w:r>
      <w:r>
        <w:rPr>
          <w:rFonts w:hint="eastAsia" w:ascii="仿宋_GB2312" w:hAnsi="仿宋_GB2312" w:eastAsia="仿宋_GB2312" w:cs="仿宋_GB2312"/>
          <w:color w:val="000000"/>
          <w:sz w:val="28"/>
          <w:szCs w:val="28"/>
          <w:shd w:val="clear" w:color="auto" w:fill="FFFFFF"/>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5、2*数字量单端线缆</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6、2*C接口</w:t>
      </w:r>
    </w:p>
    <w:p>
      <w:pPr>
        <w:pStyle w:val="30"/>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sz w:val="28"/>
          <w:szCs w:val="28"/>
          <w:shd w:val="clear" w:color="auto" w:fill="FFFFFF"/>
        </w:rPr>
        <w:t>系统接口的设计满足可以将两个模块方便地通过 SysLink 连接在一个 PLC 上。 如果模块配有模拟信号，可以通过 15 针 D-Sub 插口获取这些信号。</w:t>
      </w:r>
    </w:p>
    <w:p>
      <w:pPr>
        <w:keepNext w:val="0"/>
        <w:keepLines w:val="0"/>
        <w:pageBreakBefore w:val="0"/>
        <w:widowControl w:val="0"/>
        <w:shd w:val="clear" w:color="auto" w:fill="FFFFFF"/>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bCs/>
          <w:color w:val="000000"/>
          <w:sz w:val="28"/>
          <w:szCs w:val="28"/>
          <w:lang w:val="en-US" w:eastAsia="zh-CN"/>
        </w:rPr>
        <w:t>技术数据</w:t>
      </w:r>
      <w:r>
        <w:rPr>
          <w:rFonts w:hint="eastAsia" w:ascii="仿宋_GB2312" w:hAnsi="仿宋_GB2312" w:eastAsia="仿宋_GB2312" w:cs="仿宋_GB2312"/>
          <w:bCs/>
          <w:color w:val="000000"/>
          <w:sz w:val="28"/>
          <w:szCs w:val="28"/>
          <w:lang w:eastAsia="zh-CN"/>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24</w:t>
      </w:r>
      <w:r>
        <w:rPr>
          <w:rFonts w:hint="eastAsia" w:ascii="仿宋_GB2312" w:hAnsi="仿宋_GB2312" w:eastAsia="仿宋_GB2312" w:cs="仿宋_GB2312"/>
          <w:color w:val="000000"/>
          <w:sz w:val="28"/>
          <w:szCs w:val="28"/>
          <w:lang w:val="en-US" w:eastAsia="zh-CN"/>
        </w:rPr>
        <w:t>针</w:t>
      </w:r>
      <w:r>
        <w:rPr>
          <w:rFonts w:hint="eastAsia" w:ascii="仿宋_GB2312" w:hAnsi="仿宋_GB2312" w:eastAsia="仿宋_GB2312" w:cs="仿宋_GB2312"/>
          <w:color w:val="000000"/>
          <w:sz w:val="28"/>
          <w:szCs w:val="28"/>
          <w:lang w:eastAsia="zh-CN"/>
        </w:rPr>
        <w:t>IEEE</w:t>
      </w:r>
      <w:r>
        <w:rPr>
          <w:rFonts w:hint="eastAsia" w:ascii="仿宋_GB2312" w:hAnsi="仿宋_GB2312" w:eastAsia="仿宋_GB2312" w:cs="仿宋_GB2312"/>
          <w:color w:val="000000"/>
          <w:sz w:val="28"/>
          <w:szCs w:val="28"/>
          <w:lang w:val="en-US" w:eastAsia="zh-CN"/>
        </w:rPr>
        <w:t>插口</w:t>
      </w:r>
      <w:r>
        <w:rPr>
          <w:rFonts w:hint="eastAsia" w:ascii="仿宋_GB2312" w:hAnsi="仿宋_GB2312" w:eastAsia="仿宋_GB2312" w:cs="仿宋_GB2312"/>
          <w:color w:val="000000"/>
          <w:sz w:val="28"/>
          <w:szCs w:val="28"/>
          <w:lang w:eastAsia="zh-CN"/>
        </w:rPr>
        <w:t>（SysLink）；15</w:t>
      </w:r>
      <w:r>
        <w:rPr>
          <w:rFonts w:hint="eastAsia" w:ascii="仿宋_GB2312" w:hAnsi="仿宋_GB2312" w:eastAsia="仿宋_GB2312" w:cs="仿宋_GB2312"/>
          <w:color w:val="000000"/>
          <w:sz w:val="28"/>
          <w:szCs w:val="28"/>
          <w:lang w:val="en-US" w:eastAsia="zh-CN"/>
        </w:rPr>
        <w:t>针</w:t>
      </w:r>
      <w:r>
        <w:rPr>
          <w:rFonts w:hint="eastAsia" w:ascii="仿宋_GB2312" w:hAnsi="仿宋_GB2312" w:eastAsia="仿宋_GB2312" w:cs="仿宋_GB2312"/>
          <w:color w:val="000000"/>
          <w:sz w:val="28"/>
          <w:szCs w:val="28"/>
          <w:lang w:eastAsia="zh-CN"/>
        </w:rPr>
        <w:t>Sub-D</w:t>
      </w:r>
      <w:r>
        <w:rPr>
          <w:rFonts w:hint="eastAsia" w:ascii="仿宋_GB2312" w:hAnsi="仿宋_GB2312" w:eastAsia="仿宋_GB2312" w:cs="仿宋_GB2312"/>
          <w:color w:val="000000"/>
          <w:sz w:val="28"/>
          <w:szCs w:val="28"/>
          <w:lang w:val="en-US" w:eastAsia="zh-CN"/>
        </w:rPr>
        <w:t>插口</w:t>
      </w:r>
      <w:r>
        <w:rPr>
          <w:rFonts w:hint="eastAsia" w:ascii="仿宋_GB2312" w:hAnsi="仿宋_GB2312" w:eastAsia="仿宋_GB2312" w:cs="仿宋_GB2312"/>
          <w:color w:val="000000"/>
          <w:sz w:val="28"/>
          <w:szCs w:val="28"/>
          <w:lang w:eastAsia="zh-CN"/>
        </w:rPr>
        <w:t>；2x15</w:t>
      </w:r>
      <w:r>
        <w:rPr>
          <w:rFonts w:hint="eastAsia" w:ascii="仿宋_GB2312" w:hAnsi="仿宋_GB2312" w:eastAsia="仿宋_GB2312" w:cs="仿宋_GB2312"/>
          <w:color w:val="000000"/>
          <w:sz w:val="28"/>
          <w:szCs w:val="28"/>
          <w:lang w:val="en-US" w:eastAsia="zh-CN"/>
        </w:rPr>
        <w:t>针</w:t>
      </w:r>
      <w:r>
        <w:rPr>
          <w:rFonts w:hint="eastAsia" w:ascii="仿宋_GB2312" w:hAnsi="仿宋_GB2312" w:eastAsia="仿宋_GB2312" w:cs="仿宋_GB2312"/>
          <w:color w:val="000000"/>
          <w:sz w:val="28"/>
          <w:szCs w:val="28"/>
          <w:lang w:eastAsia="zh-CN"/>
        </w:rPr>
        <w:t>D-Sub-HD</w:t>
      </w:r>
      <w:r>
        <w:rPr>
          <w:rFonts w:hint="eastAsia" w:ascii="仿宋_GB2312" w:hAnsi="仿宋_GB2312" w:eastAsia="仿宋_GB2312" w:cs="仿宋_GB2312"/>
          <w:color w:val="000000"/>
          <w:sz w:val="28"/>
          <w:szCs w:val="28"/>
          <w:lang w:val="en-US" w:eastAsia="zh-CN"/>
        </w:rPr>
        <w:t>插口</w:t>
      </w:r>
      <w:r>
        <w:rPr>
          <w:rFonts w:hint="eastAsia" w:ascii="仿宋_GB2312" w:hAnsi="仿宋_GB2312" w:eastAsia="仿宋_GB2312" w:cs="仿宋_GB2312"/>
          <w:color w:val="000000"/>
          <w:sz w:val="28"/>
          <w:szCs w:val="28"/>
          <w:lang w:eastAsia="zh-CN"/>
        </w:rPr>
        <w:t>；</w:t>
      </w:r>
    </w:p>
    <w:p>
      <w:pPr>
        <w:keepNext w:val="0"/>
        <w:keepLines w:val="0"/>
        <w:pageBreakBefore w:val="0"/>
        <w:widowControl w:val="0"/>
        <w:shd w:val="clear" w:color="auto" w:fill="FFFFFF"/>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LED</w:t>
      </w:r>
      <w:r>
        <w:rPr>
          <w:rFonts w:hint="eastAsia" w:ascii="仿宋_GB2312" w:hAnsi="仿宋_GB2312" w:eastAsia="仿宋_GB2312" w:cs="仿宋_GB2312"/>
          <w:color w:val="000000"/>
          <w:sz w:val="28"/>
          <w:szCs w:val="28"/>
          <w:lang w:val="en-US" w:eastAsia="zh-CN"/>
        </w:rPr>
        <w:t>状态指示灯；尺寸</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高</w:t>
      </w:r>
      <w:r>
        <w:rPr>
          <w:rFonts w:hint="eastAsia" w:ascii="仿宋_GB2312" w:hAnsi="仿宋_GB2312" w:eastAsia="仿宋_GB2312" w:cs="仿宋_GB2312"/>
          <w:color w:val="000000"/>
          <w:sz w:val="28"/>
          <w:szCs w:val="28"/>
          <w:lang w:eastAsia="zh-CN"/>
        </w:rPr>
        <w:t>x</w:t>
      </w:r>
      <w:r>
        <w:rPr>
          <w:rFonts w:hint="eastAsia" w:ascii="仿宋_GB2312" w:hAnsi="仿宋_GB2312" w:eastAsia="仿宋_GB2312" w:cs="仿宋_GB2312"/>
          <w:color w:val="000000"/>
          <w:sz w:val="28"/>
          <w:szCs w:val="28"/>
          <w:lang w:val="en-US" w:eastAsia="zh-CN"/>
        </w:rPr>
        <w:t>深</w:t>
      </w:r>
      <w:r>
        <w:rPr>
          <w:rFonts w:hint="eastAsia" w:ascii="仿宋_GB2312" w:hAnsi="仿宋_GB2312" w:eastAsia="仿宋_GB2312" w:cs="仿宋_GB2312"/>
          <w:color w:val="000000"/>
          <w:sz w:val="28"/>
          <w:szCs w:val="28"/>
          <w:lang w:eastAsia="zh-CN"/>
        </w:rPr>
        <w:t>）：68x77mm。</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7、2*15针电缆</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560" w:firstLineChars="200"/>
        <w:textAlignment w:val="auto"/>
        <w:rPr>
          <w:rFonts w:ascii="黑体" w:eastAsia="黑体"/>
          <w:sz w:val="28"/>
          <w:szCs w:val="28"/>
        </w:rPr>
      </w:pPr>
      <w:r>
        <w:rPr>
          <w:rFonts w:hint="eastAsia" w:ascii="仿宋_GB2312" w:hAnsi="仿宋_GB2312" w:eastAsia="仿宋_GB2312" w:cs="仿宋_GB2312"/>
          <w:sz w:val="28"/>
          <w:szCs w:val="28"/>
          <w:lang w:eastAsia="zh-CN"/>
        </w:rPr>
        <w:t>配套传感器及光纤。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ascii="黑体" w:eastAsia="黑体"/>
          <w:sz w:val="28"/>
          <w:szCs w:val="28"/>
        </w:rPr>
      </w:pPr>
      <w:r>
        <w:rPr>
          <w:rFonts w:hint="eastAsia" w:ascii="黑体" w:eastAsia="黑体"/>
          <w:sz w:val="28"/>
          <w:szCs w:val="28"/>
        </w:rPr>
        <w:t>二、采购项目预算金额</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本项目预算价</w:t>
      </w:r>
      <w:r>
        <w:rPr>
          <w:rFonts w:hint="eastAsia" w:ascii="仿宋_GB2312" w:hAnsi="仿宋_GB2312" w:eastAsia="仿宋_GB2312" w:cs="仿宋_GB2312"/>
          <w:b/>
          <w:color w:val="000000"/>
          <w:sz w:val="28"/>
          <w:szCs w:val="28"/>
          <w:lang w:val="en-US" w:eastAsia="zh-CN"/>
        </w:rPr>
        <w:t>19.7</w:t>
      </w:r>
      <w:r>
        <w:rPr>
          <w:rFonts w:hint="eastAsia" w:ascii="仿宋_GB2312" w:hAnsi="仿宋_GB2312" w:eastAsia="仿宋_GB2312" w:cs="仿宋_GB2312"/>
          <w:b/>
          <w:color w:val="000000"/>
          <w:sz w:val="28"/>
          <w:szCs w:val="28"/>
        </w:rPr>
        <w:t>万元；投标人报价超过预算的为无效报价，按照未实质性响应招标文件处理</w:t>
      </w:r>
      <w:r>
        <w:rPr>
          <w:rFonts w:hint="eastAsia" w:ascii="仿宋_GB2312" w:hAnsi="仿宋_GB2312" w:eastAsia="仿宋_GB2312" w:cs="仿宋_GB2312"/>
          <w:b/>
          <w:color w:val="000000"/>
          <w:sz w:val="28"/>
          <w:szCs w:val="28"/>
          <w:lang w:eastAsia="zh-CN"/>
        </w:rPr>
        <w:t>，签订合同后</w:t>
      </w:r>
      <w:r>
        <w:rPr>
          <w:rFonts w:hint="eastAsia" w:ascii="仿宋_GB2312" w:hAnsi="仿宋_GB2312" w:eastAsia="仿宋_GB2312" w:cs="仿宋_GB2312"/>
          <w:b/>
          <w:color w:val="000000"/>
          <w:sz w:val="28"/>
          <w:szCs w:val="28"/>
          <w:lang w:val="en-US" w:eastAsia="zh-CN"/>
        </w:rPr>
        <w:t>10日内完成供货</w:t>
      </w:r>
      <w:r>
        <w:rPr>
          <w:rFonts w:hint="eastAsia" w:ascii="仿宋_GB2312" w:hAnsi="仿宋_GB2312" w:eastAsia="仿宋_GB2312" w:cs="仿宋_GB2312"/>
          <w:b/>
          <w:color w:val="000000"/>
          <w:sz w:val="28"/>
          <w:szCs w:val="28"/>
        </w:rPr>
        <w:t>。</w:t>
      </w:r>
    </w:p>
    <w:p>
      <w:pPr>
        <w:spacing w:line="560" w:lineRule="exact"/>
        <w:ind w:firstLine="560" w:firstLineChars="200"/>
        <w:rPr>
          <w:rFonts w:ascii="黑体" w:eastAsia="黑体"/>
          <w:sz w:val="28"/>
          <w:szCs w:val="28"/>
        </w:rPr>
      </w:pPr>
      <w:r>
        <w:rPr>
          <w:rFonts w:hint="eastAsia" w:ascii="黑体" w:eastAsia="黑体"/>
          <w:sz w:val="28"/>
          <w:szCs w:val="28"/>
        </w:rPr>
        <w:t>三、合格谈判服务商资格要求</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1.在中华人民共和国境内注册，符合《中华人民共和国政府采购法》第二十二条之规定。</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hint="eastAsia" w:ascii="仿宋_GB2312" w:eastAsia="仿宋_GB2312" w:cs="仿宋_GB2312"/>
          <w:color w:val="000000"/>
          <w:sz w:val="28"/>
          <w:szCs w:val="28"/>
        </w:rPr>
        <w:t>3.投标人</w:t>
      </w:r>
      <w:r>
        <w:rPr>
          <w:rFonts w:hint="eastAsia" w:ascii="仿宋_GB2312" w:eastAsia="仿宋_GB2312" w:cs="仿宋_GB2312"/>
          <w:b/>
          <w:bCs/>
          <w:color w:val="000000"/>
          <w:sz w:val="32"/>
          <w:szCs w:val="32"/>
          <w:lang w:eastAsia="zh-CN"/>
        </w:rPr>
        <w:t>报名和</w:t>
      </w:r>
      <w:r>
        <w:rPr>
          <w:rFonts w:hint="eastAsia" w:ascii="仿宋_GB2312" w:eastAsia="仿宋_GB2312" w:cs="仿宋_GB2312"/>
          <w:b/>
          <w:bCs/>
          <w:color w:val="000000"/>
          <w:sz w:val="32"/>
          <w:szCs w:val="32"/>
        </w:rPr>
        <w:t>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4.投标人未处于投标资格被取消或者财产被接管、冻结和破产状态；没有因骗取中标或严重违约以及发生重大质量、安全生产事故等问题被有关部门暂停投标资格并在暂停期内的。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5.本项目不接受联合体投标，法定代表人为同一人或者存在直接控股、管理关系的不同投标人，不得同时参加本项目投标。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二、竞争性谈判文件的获取时间及地点</w:t>
      </w:r>
    </w:p>
    <w:p>
      <w:pPr>
        <w:shd w:val="clear" w:color="auto" w:fill="FFFFFF"/>
        <w:spacing w:line="560" w:lineRule="exact"/>
        <w:ind w:firstLine="560" w:firstLineChars="200"/>
        <w:rPr>
          <w:rFonts w:ascii="仿宋_GB2312" w:eastAsia="仿宋_GB2312"/>
          <w:sz w:val="28"/>
          <w:szCs w:val="28"/>
        </w:rPr>
      </w:pPr>
      <w:r>
        <w:rPr>
          <w:rFonts w:hint="eastAsia" w:ascii="仿宋_GB2312" w:eastAsia="仿宋_GB2312"/>
          <w:sz w:val="28"/>
          <w:szCs w:val="28"/>
        </w:rPr>
        <w:t>1.获取时间：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3</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eastAsia="仿宋_GB2312"/>
          <w:sz w:val="28"/>
          <w:szCs w:val="28"/>
        </w:rPr>
        <w:t>2.获取地点：</w:t>
      </w:r>
      <w:r>
        <w:rPr>
          <w:rFonts w:hint="eastAsia" w:ascii="仿宋_GB2312" w:hAnsi="仿宋_GB2312" w:eastAsia="仿宋_GB2312" w:cs="仿宋_GB2312"/>
          <w:color w:val="000000"/>
          <w:sz w:val="28"/>
          <w:szCs w:val="28"/>
        </w:rPr>
        <w:t>盐城市文港中路128号江苏省盐城技师学院研发中心大楼1001会议室。</w:t>
      </w:r>
    </w:p>
    <w:p>
      <w:pPr>
        <w:pStyle w:val="7"/>
        <w:spacing w:line="600" w:lineRule="exact"/>
        <w:ind w:firstLine="742"/>
        <w:rPr>
          <w:rFonts w:ascii="仿宋_GB2312"/>
          <w:sz w:val="28"/>
          <w:szCs w:val="28"/>
        </w:rPr>
      </w:pPr>
      <w:r>
        <w:rPr>
          <w:rFonts w:hint="eastAsia" w:ascii="仿宋_GB2312"/>
          <w:color w:val="000000"/>
          <w:szCs w:val="32"/>
        </w:rPr>
        <w:t>联系人：杨老师   0515—68661002/13770176940</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三、谈判响应文件递交时间及地点</w:t>
      </w:r>
    </w:p>
    <w:p>
      <w:pPr>
        <w:spacing w:line="440" w:lineRule="exact"/>
        <w:ind w:firstLine="649" w:firstLineChars="232"/>
        <w:jc w:val="left"/>
        <w:rPr>
          <w:rFonts w:ascii="仿宋_GB2312" w:eastAsia="仿宋_GB2312"/>
          <w:sz w:val="28"/>
          <w:szCs w:val="28"/>
        </w:rPr>
      </w:pPr>
      <w:r>
        <w:rPr>
          <w:rFonts w:hint="eastAsia" w:ascii="仿宋_GB2312" w:eastAsia="仿宋_GB2312"/>
          <w:sz w:val="28"/>
          <w:szCs w:val="28"/>
        </w:rPr>
        <w:t xml:space="preserve">1. 谈判响应文件递交地点: </w:t>
      </w:r>
      <w:r>
        <w:rPr>
          <w:rFonts w:hint="eastAsia" w:ascii="仿宋_GB2312" w:hAnsi="仿宋_GB2312" w:eastAsia="仿宋_GB2312" w:cs="仿宋_GB2312"/>
          <w:color w:val="000000"/>
          <w:sz w:val="28"/>
          <w:szCs w:val="28"/>
        </w:rPr>
        <w:t>盐城市文港中路128号江苏省盐城技师学院研发中心大楼</w:t>
      </w:r>
      <w:r>
        <w:rPr>
          <w:rFonts w:hint="eastAsia" w:ascii="仿宋_GB2312" w:hAnsi="仿宋_GB2312" w:eastAsia="仿宋_GB2312" w:cs="仿宋_GB2312"/>
          <w:color w:val="000000"/>
          <w:sz w:val="28"/>
          <w:szCs w:val="28"/>
          <w:lang w:val="en-US" w:eastAsia="zh-CN"/>
        </w:rPr>
        <w:t>15楼</w:t>
      </w:r>
      <w:r>
        <w:rPr>
          <w:rFonts w:hint="eastAsia" w:ascii="仿宋_GB2312" w:hAnsi="仿宋_GB2312" w:eastAsia="仿宋_GB2312" w:cs="仿宋_GB2312"/>
          <w:color w:val="000000"/>
          <w:sz w:val="28"/>
          <w:szCs w:val="28"/>
        </w:rPr>
        <w:t>会议室。</w:t>
      </w:r>
    </w:p>
    <w:p>
      <w:pPr>
        <w:spacing w:line="440" w:lineRule="exact"/>
        <w:ind w:firstLine="649" w:firstLineChars="232"/>
        <w:jc w:val="left"/>
        <w:rPr>
          <w:rFonts w:ascii="仿宋_GB2312" w:hAnsi="仿宋_GB2312" w:eastAsia="仿宋_GB2312" w:cs="仿宋_GB2312"/>
          <w:b/>
          <w:bCs/>
          <w:color w:val="000000"/>
          <w:sz w:val="28"/>
          <w:szCs w:val="28"/>
          <w:u w:val="single"/>
        </w:rPr>
      </w:pPr>
      <w:r>
        <w:rPr>
          <w:rFonts w:hint="eastAsia" w:ascii="仿宋_GB2312" w:hAnsi="仿宋_GB2312" w:eastAsia="仿宋_GB2312" w:cs="仿宋_GB2312"/>
          <w:color w:val="000000"/>
          <w:sz w:val="28"/>
          <w:szCs w:val="28"/>
        </w:rPr>
        <w:t>2. 谈判响应文件递交截止时间：</w:t>
      </w:r>
      <w:r>
        <w:rPr>
          <w:rFonts w:hint="eastAsia" w:ascii="仿宋_GB2312" w:hAnsi="仿宋_GB2312" w:eastAsia="仿宋_GB2312" w:cs="仿宋_GB2312"/>
          <w:b/>
          <w:bCs/>
          <w:color w:val="000000"/>
          <w:sz w:val="28"/>
          <w:szCs w:val="28"/>
          <w:u w:val="single"/>
        </w:rPr>
        <w:t>2020年</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45</w:t>
      </w:r>
      <w:r>
        <w:rPr>
          <w:rFonts w:hint="eastAsia" w:ascii="仿宋_GB2312" w:hAnsi="仿宋_GB2312" w:eastAsia="仿宋_GB2312" w:cs="仿宋_GB2312"/>
          <w:b/>
          <w:bCs/>
          <w:color w:val="000000"/>
          <w:sz w:val="28"/>
          <w:szCs w:val="28"/>
          <w:u w:val="single"/>
        </w:rPr>
        <w:t>分前；</w:t>
      </w:r>
    </w:p>
    <w:p>
      <w:pPr>
        <w:spacing w:line="440" w:lineRule="exact"/>
        <w:ind w:firstLine="649" w:firstLineChars="232"/>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 谈判时间：</w:t>
      </w:r>
      <w:r>
        <w:rPr>
          <w:rFonts w:hint="eastAsia" w:ascii="仿宋_GB2312" w:hAnsi="仿宋_GB2312" w:eastAsia="仿宋_GB2312" w:cs="仿宋_GB2312"/>
          <w:b/>
          <w:bCs/>
          <w:color w:val="000000"/>
          <w:sz w:val="28"/>
          <w:szCs w:val="28"/>
          <w:u w:val="single"/>
        </w:rPr>
        <w:t>2020年</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45</w:t>
      </w:r>
      <w:r>
        <w:rPr>
          <w:rFonts w:hint="eastAsia" w:ascii="仿宋_GB2312" w:hAnsi="仿宋_GB2312" w:eastAsia="仿宋_GB2312" w:cs="仿宋_GB2312"/>
          <w:b/>
          <w:bCs/>
          <w:color w:val="000000"/>
          <w:sz w:val="28"/>
          <w:szCs w:val="28"/>
          <w:u w:val="single"/>
        </w:rPr>
        <w:t>分前；（北京时间，上同）；</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四、谈判保证金及履约保证金</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3</w:t>
      </w:r>
      <w:r>
        <w:rPr>
          <w:rFonts w:hint="eastAsia" w:ascii="仿宋_GB2312" w:hAnsi="仿宋_GB2312" w:eastAsia="仿宋_GB2312" w:cs="仿宋_GB2312"/>
          <w:b/>
          <w:bCs/>
          <w:color w:val="000000"/>
          <w:sz w:val="28"/>
          <w:szCs w:val="28"/>
          <w:u w:val="single"/>
        </w:rPr>
        <w:t>000元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2.投标保证金核验方式为：投标文件递交的同时，投标单位将本票或汇票直接提交给投标文件接收人员。未按上述要求提交保证金交款凭据的，投标文件将不予接收。</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3.若中标，投标保证金在合同签订后无息退还；未中标单位于现场退还投标保证金（无息退还）。中标人于签订合同后1个工作日内向招标人指定账号缴纳履约保证金</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000元。</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sz w:val="28"/>
          <w:szCs w:val="28"/>
        </w:rPr>
        <w:t>除不可抗力情况外，投标人</w:t>
      </w:r>
      <w:r>
        <w:rPr>
          <w:rFonts w:hint="eastAsia" w:ascii="仿宋_GB2312" w:hAnsi="仿宋_GB2312" w:eastAsia="仿宋_GB2312" w:cs="仿宋_GB2312"/>
          <w:color w:val="000000"/>
          <w:sz w:val="28"/>
          <w:szCs w:val="28"/>
        </w:rPr>
        <w:t>发生下列任何情况之一，投标保证金将被没收，</w:t>
      </w:r>
      <w:r>
        <w:rPr>
          <w:rFonts w:hint="eastAsia" w:ascii="仿宋_GB2312" w:hAnsi="仿宋_GB2312" w:eastAsia="仿宋_GB2312" w:cs="仿宋_GB2312"/>
          <w:sz w:val="28"/>
          <w:szCs w:val="28"/>
        </w:rPr>
        <w:t>给招标人造成的损失超过投标保证金或履约保证金数额的，中标人还应当对超过部分予以赔偿：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5.履约保证金的退还：按合同要求供货并验收合格后全额退还。</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招标结束后，招标人可组织有关部门对中标人进行实地考察，对所投产品的采购过程、运输过程等环节进行跟踪，一经发现中标人有虚假行为的，将取消中标资格，没收投标保证金，作为不良行为清退出江苏省盐城技师学院招标市场，打入黑名单。</w:t>
      </w:r>
    </w:p>
    <w:p>
      <w:pPr>
        <w:shd w:val="clear" w:color="auto" w:fill="FFFFFF"/>
        <w:spacing w:line="560" w:lineRule="exact"/>
        <w:ind w:firstLine="560" w:firstLineChars="200"/>
        <w:rPr>
          <w:rFonts w:ascii="宋体" w:hAnsi="宋体"/>
          <w:b/>
          <w:bCs/>
          <w:sz w:val="28"/>
          <w:szCs w:val="28"/>
        </w:rPr>
      </w:pPr>
      <w:r>
        <w:rPr>
          <w:rFonts w:hint="eastAsia" w:ascii="仿宋_GB2312" w:hAnsi="仿宋_GB2312" w:eastAsia="仿宋_GB2312" w:cs="仿宋_GB2312"/>
          <w:sz w:val="28"/>
          <w:szCs w:val="28"/>
        </w:rPr>
        <w:t>6.履约保证金的退还：按合同要求</w:t>
      </w:r>
      <w:r>
        <w:rPr>
          <w:rFonts w:hint="eastAsia" w:ascii="仿宋_GB2312" w:hAnsi="仿宋_GB2312" w:eastAsia="仿宋_GB2312" w:cs="仿宋_GB2312"/>
          <w:sz w:val="28"/>
          <w:szCs w:val="28"/>
          <w:lang w:eastAsia="zh-CN"/>
        </w:rPr>
        <w:t>供货并验收</w:t>
      </w:r>
      <w:r>
        <w:rPr>
          <w:rFonts w:hint="eastAsia" w:ascii="仿宋_GB2312" w:hAnsi="仿宋_GB2312" w:eastAsia="仿宋_GB2312" w:cs="仿宋_GB2312"/>
          <w:sz w:val="28"/>
          <w:szCs w:val="28"/>
        </w:rPr>
        <w:t>合格后全额退还。</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招标（采购）资料费</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00元，在购买招标文件时现场收取。投标人交纳的招标（采购）资料费，售后不退。</w:t>
      </w:r>
    </w:p>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五、期望得到的协助与配合</w:t>
      </w:r>
    </w:p>
    <w:p>
      <w:pPr>
        <w:adjustRightInd w:val="0"/>
        <w:snapToGrid w:val="0"/>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w:t>
      </w:r>
    </w:p>
    <w:p>
      <w:pPr>
        <w:pStyle w:val="13"/>
        <w:ind w:firstLine="0" w:firstLineChars="0"/>
        <w:rPr>
          <w:lang w:val="zh-TW"/>
        </w:rPr>
      </w:pPr>
      <w:r>
        <w:rPr>
          <w:rFonts w:hint="eastAsia" w:ascii="仿宋_GB2312" w:hAnsi="仿宋_GB2312" w:eastAsia="仿宋_GB2312" w:cs="仿宋_GB2312"/>
          <w:b/>
          <w:bCs/>
          <w:color w:val="000000"/>
          <w:sz w:val="28"/>
          <w:szCs w:val="28"/>
        </w:rPr>
        <w:t>凭据，本次投标保证金以银行本票或汇票形式（提供银行本票或汇票，谢绝其他形式）缴纳，开标前带至开标现场（详见投标保证金条款的相关规定）。</w:t>
      </w:r>
      <w:bookmarkStart w:id="0" w:name="_GoBack"/>
      <w:bookmarkEnd w:id="0"/>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font-weight : 400">
    <w:altName w:val="仿宋_GB2312"/>
    <w:panose1 w:val="00000000000000000000"/>
    <w:charset w:val="00"/>
    <w:family w:val="auto"/>
    <w:pitch w:val="default"/>
    <w:sig w:usb0="00000000" w:usb1="0000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MetaPlusLF-Regular">
    <w:altName w:val="Arial"/>
    <w:panose1 w:val="00000000000000000000"/>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3C7B4"/>
    <w:multiLevelType w:val="singleLevel"/>
    <w:tmpl w:val="25A3C7B4"/>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420793E"/>
    <w:rsid w:val="003032C3"/>
    <w:rsid w:val="0030389F"/>
    <w:rsid w:val="00320C8A"/>
    <w:rsid w:val="00350747"/>
    <w:rsid w:val="003D4E43"/>
    <w:rsid w:val="00404FEF"/>
    <w:rsid w:val="00442151"/>
    <w:rsid w:val="005119CD"/>
    <w:rsid w:val="00591F31"/>
    <w:rsid w:val="00710AAD"/>
    <w:rsid w:val="00785FD1"/>
    <w:rsid w:val="007F4426"/>
    <w:rsid w:val="0087175B"/>
    <w:rsid w:val="00881B2A"/>
    <w:rsid w:val="00895C9B"/>
    <w:rsid w:val="009C3BD8"/>
    <w:rsid w:val="00A827ED"/>
    <w:rsid w:val="00B24771"/>
    <w:rsid w:val="00B572A9"/>
    <w:rsid w:val="00BC168C"/>
    <w:rsid w:val="00CE7E94"/>
    <w:rsid w:val="00D83947"/>
    <w:rsid w:val="00D950B6"/>
    <w:rsid w:val="00EF3957"/>
    <w:rsid w:val="00F33FCF"/>
    <w:rsid w:val="00F36479"/>
    <w:rsid w:val="00F73FAE"/>
    <w:rsid w:val="00F8386D"/>
    <w:rsid w:val="00FB099F"/>
    <w:rsid w:val="00FF251E"/>
    <w:rsid w:val="01213557"/>
    <w:rsid w:val="012763F3"/>
    <w:rsid w:val="01754E63"/>
    <w:rsid w:val="01AB4B3C"/>
    <w:rsid w:val="01C51436"/>
    <w:rsid w:val="0209230C"/>
    <w:rsid w:val="020B7FE8"/>
    <w:rsid w:val="024204A2"/>
    <w:rsid w:val="035418D9"/>
    <w:rsid w:val="03784BFE"/>
    <w:rsid w:val="0391134E"/>
    <w:rsid w:val="03DC0204"/>
    <w:rsid w:val="046443D0"/>
    <w:rsid w:val="04C11FC6"/>
    <w:rsid w:val="04CC52EE"/>
    <w:rsid w:val="04CD3D0D"/>
    <w:rsid w:val="05064F22"/>
    <w:rsid w:val="051004D3"/>
    <w:rsid w:val="05272FAA"/>
    <w:rsid w:val="054C46B0"/>
    <w:rsid w:val="05A73324"/>
    <w:rsid w:val="05B15802"/>
    <w:rsid w:val="05C66E0A"/>
    <w:rsid w:val="065461C1"/>
    <w:rsid w:val="066151A4"/>
    <w:rsid w:val="06633BF8"/>
    <w:rsid w:val="067009E3"/>
    <w:rsid w:val="06B24841"/>
    <w:rsid w:val="06B306D8"/>
    <w:rsid w:val="06BB5646"/>
    <w:rsid w:val="070058ED"/>
    <w:rsid w:val="070C0B87"/>
    <w:rsid w:val="072842ED"/>
    <w:rsid w:val="074F6420"/>
    <w:rsid w:val="076D3A7D"/>
    <w:rsid w:val="076E1C88"/>
    <w:rsid w:val="07976D19"/>
    <w:rsid w:val="07B10DAC"/>
    <w:rsid w:val="07DA3CFE"/>
    <w:rsid w:val="07E52222"/>
    <w:rsid w:val="08037EE2"/>
    <w:rsid w:val="08507F71"/>
    <w:rsid w:val="08517A6C"/>
    <w:rsid w:val="08554DC2"/>
    <w:rsid w:val="08A31E20"/>
    <w:rsid w:val="08BF7CF7"/>
    <w:rsid w:val="091A0CCA"/>
    <w:rsid w:val="09D3578B"/>
    <w:rsid w:val="09EC2687"/>
    <w:rsid w:val="0A2658EF"/>
    <w:rsid w:val="0A4179AC"/>
    <w:rsid w:val="0A9534B3"/>
    <w:rsid w:val="0AD50C2F"/>
    <w:rsid w:val="0AEB2D57"/>
    <w:rsid w:val="0AEC0EA0"/>
    <w:rsid w:val="0AFC45D4"/>
    <w:rsid w:val="0B1721B7"/>
    <w:rsid w:val="0B4523BA"/>
    <w:rsid w:val="0B62067E"/>
    <w:rsid w:val="0B626DEC"/>
    <w:rsid w:val="0B650416"/>
    <w:rsid w:val="0B9F6033"/>
    <w:rsid w:val="0BE87DE6"/>
    <w:rsid w:val="0BEE57EC"/>
    <w:rsid w:val="0C206B85"/>
    <w:rsid w:val="0C4D098C"/>
    <w:rsid w:val="0C4D4DBE"/>
    <w:rsid w:val="0C525545"/>
    <w:rsid w:val="0CAA0EEE"/>
    <w:rsid w:val="0CF92E1A"/>
    <w:rsid w:val="0D40776B"/>
    <w:rsid w:val="0D451709"/>
    <w:rsid w:val="0D8536A8"/>
    <w:rsid w:val="0DA5454E"/>
    <w:rsid w:val="0DC32138"/>
    <w:rsid w:val="0DD36B68"/>
    <w:rsid w:val="0E0971E5"/>
    <w:rsid w:val="0E1E525F"/>
    <w:rsid w:val="0E256362"/>
    <w:rsid w:val="0E2B5F03"/>
    <w:rsid w:val="0E6C4B17"/>
    <w:rsid w:val="0EB6316D"/>
    <w:rsid w:val="0EED3DB3"/>
    <w:rsid w:val="0F025FBB"/>
    <w:rsid w:val="0F216F3E"/>
    <w:rsid w:val="0F3957F4"/>
    <w:rsid w:val="0F601CA1"/>
    <w:rsid w:val="0F746EF2"/>
    <w:rsid w:val="0F78360A"/>
    <w:rsid w:val="0F8F4E87"/>
    <w:rsid w:val="0F9451C4"/>
    <w:rsid w:val="0FA34244"/>
    <w:rsid w:val="0FAD3B69"/>
    <w:rsid w:val="0FC161BE"/>
    <w:rsid w:val="0FED1AAA"/>
    <w:rsid w:val="0FFC59E0"/>
    <w:rsid w:val="100A600B"/>
    <w:rsid w:val="10486C99"/>
    <w:rsid w:val="10702A3C"/>
    <w:rsid w:val="10A02C4D"/>
    <w:rsid w:val="10AA1414"/>
    <w:rsid w:val="10D7497B"/>
    <w:rsid w:val="10D84E4E"/>
    <w:rsid w:val="10E40D30"/>
    <w:rsid w:val="10FF6F1C"/>
    <w:rsid w:val="110F5FEB"/>
    <w:rsid w:val="11442DBE"/>
    <w:rsid w:val="119F60B5"/>
    <w:rsid w:val="120D5A10"/>
    <w:rsid w:val="121D42C8"/>
    <w:rsid w:val="12587BBB"/>
    <w:rsid w:val="125D3852"/>
    <w:rsid w:val="126B6779"/>
    <w:rsid w:val="12726C10"/>
    <w:rsid w:val="128C3AF6"/>
    <w:rsid w:val="12C23695"/>
    <w:rsid w:val="12D90DBC"/>
    <w:rsid w:val="131953C2"/>
    <w:rsid w:val="13626C51"/>
    <w:rsid w:val="1387289B"/>
    <w:rsid w:val="138A3CBD"/>
    <w:rsid w:val="13BF20EE"/>
    <w:rsid w:val="13EE1CA6"/>
    <w:rsid w:val="141A7C53"/>
    <w:rsid w:val="141E3E24"/>
    <w:rsid w:val="14A1058A"/>
    <w:rsid w:val="14EF4C8B"/>
    <w:rsid w:val="155F42E2"/>
    <w:rsid w:val="158925BF"/>
    <w:rsid w:val="15D211C0"/>
    <w:rsid w:val="15DF3C87"/>
    <w:rsid w:val="15DF6418"/>
    <w:rsid w:val="161A2398"/>
    <w:rsid w:val="16502FCA"/>
    <w:rsid w:val="165119DF"/>
    <w:rsid w:val="16515249"/>
    <w:rsid w:val="165C6CAD"/>
    <w:rsid w:val="16790660"/>
    <w:rsid w:val="16813B66"/>
    <w:rsid w:val="16D60D5C"/>
    <w:rsid w:val="16FA1EEA"/>
    <w:rsid w:val="17182A00"/>
    <w:rsid w:val="176171B3"/>
    <w:rsid w:val="178F4D9A"/>
    <w:rsid w:val="17A13251"/>
    <w:rsid w:val="180B2A5B"/>
    <w:rsid w:val="18352C7A"/>
    <w:rsid w:val="18707FE4"/>
    <w:rsid w:val="188A563A"/>
    <w:rsid w:val="18FB37F0"/>
    <w:rsid w:val="193534EA"/>
    <w:rsid w:val="1949555F"/>
    <w:rsid w:val="19674C8C"/>
    <w:rsid w:val="19D42B02"/>
    <w:rsid w:val="1A0033A8"/>
    <w:rsid w:val="1A2E19C8"/>
    <w:rsid w:val="1A5D44F7"/>
    <w:rsid w:val="1A697E5F"/>
    <w:rsid w:val="1A7C6625"/>
    <w:rsid w:val="1AA81E83"/>
    <w:rsid w:val="1ACF0032"/>
    <w:rsid w:val="1ADA2B3C"/>
    <w:rsid w:val="1AE7007E"/>
    <w:rsid w:val="1B1D036B"/>
    <w:rsid w:val="1B251C6A"/>
    <w:rsid w:val="1B2E57EC"/>
    <w:rsid w:val="1B370055"/>
    <w:rsid w:val="1B3F74FB"/>
    <w:rsid w:val="1B4D7F3F"/>
    <w:rsid w:val="1B4E02E5"/>
    <w:rsid w:val="1BC6556D"/>
    <w:rsid w:val="1BE31FE3"/>
    <w:rsid w:val="1C172E5F"/>
    <w:rsid w:val="1C1B40C1"/>
    <w:rsid w:val="1C272AEC"/>
    <w:rsid w:val="1C2C727F"/>
    <w:rsid w:val="1C353DC6"/>
    <w:rsid w:val="1C3B6ECC"/>
    <w:rsid w:val="1C6537A6"/>
    <w:rsid w:val="1C664B1D"/>
    <w:rsid w:val="1C7A04F5"/>
    <w:rsid w:val="1C9107B2"/>
    <w:rsid w:val="1C954D91"/>
    <w:rsid w:val="1CB94466"/>
    <w:rsid w:val="1CC5403D"/>
    <w:rsid w:val="1CD0028B"/>
    <w:rsid w:val="1CDA3C7F"/>
    <w:rsid w:val="1CEF28AC"/>
    <w:rsid w:val="1D027E40"/>
    <w:rsid w:val="1D5F7B0B"/>
    <w:rsid w:val="1D681CE1"/>
    <w:rsid w:val="1DD46062"/>
    <w:rsid w:val="1E1823DE"/>
    <w:rsid w:val="1E285373"/>
    <w:rsid w:val="1E4C0DD8"/>
    <w:rsid w:val="1E9F10E2"/>
    <w:rsid w:val="1EB96B5B"/>
    <w:rsid w:val="1F3417C9"/>
    <w:rsid w:val="1F4C0ECE"/>
    <w:rsid w:val="1F921D1B"/>
    <w:rsid w:val="1FAA23C7"/>
    <w:rsid w:val="1FAC5CC2"/>
    <w:rsid w:val="1FE5656D"/>
    <w:rsid w:val="200349CA"/>
    <w:rsid w:val="201151C4"/>
    <w:rsid w:val="201F1628"/>
    <w:rsid w:val="20540E4E"/>
    <w:rsid w:val="20886574"/>
    <w:rsid w:val="20896680"/>
    <w:rsid w:val="20AE6EE3"/>
    <w:rsid w:val="20C33B6A"/>
    <w:rsid w:val="20F11ECD"/>
    <w:rsid w:val="20FD07C0"/>
    <w:rsid w:val="2156212F"/>
    <w:rsid w:val="21645F4F"/>
    <w:rsid w:val="216E48EC"/>
    <w:rsid w:val="21AB5DEA"/>
    <w:rsid w:val="21CF6503"/>
    <w:rsid w:val="21D15555"/>
    <w:rsid w:val="21F3410D"/>
    <w:rsid w:val="21F46F58"/>
    <w:rsid w:val="22291D25"/>
    <w:rsid w:val="22DB3FED"/>
    <w:rsid w:val="235F4CA5"/>
    <w:rsid w:val="2420793E"/>
    <w:rsid w:val="242F2957"/>
    <w:rsid w:val="24320E9D"/>
    <w:rsid w:val="24754813"/>
    <w:rsid w:val="24776CCE"/>
    <w:rsid w:val="2480139C"/>
    <w:rsid w:val="24AB21CC"/>
    <w:rsid w:val="24B37275"/>
    <w:rsid w:val="24C34269"/>
    <w:rsid w:val="24CA7BB3"/>
    <w:rsid w:val="24D36639"/>
    <w:rsid w:val="24E15C47"/>
    <w:rsid w:val="2506770C"/>
    <w:rsid w:val="25241D99"/>
    <w:rsid w:val="254D0978"/>
    <w:rsid w:val="256E76E9"/>
    <w:rsid w:val="25C27D0F"/>
    <w:rsid w:val="26307FDD"/>
    <w:rsid w:val="263372DB"/>
    <w:rsid w:val="26450D03"/>
    <w:rsid w:val="268D578A"/>
    <w:rsid w:val="26957132"/>
    <w:rsid w:val="26B462D2"/>
    <w:rsid w:val="26EA3339"/>
    <w:rsid w:val="270C5466"/>
    <w:rsid w:val="27164E89"/>
    <w:rsid w:val="27237BF9"/>
    <w:rsid w:val="272D5323"/>
    <w:rsid w:val="27B73D55"/>
    <w:rsid w:val="28073AD2"/>
    <w:rsid w:val="28245297"/>
    <w:rsid w:val="289F324F"/>
    <w:rsid w:val="28B80A13"/>
    <w:rsid w:val="28BA3435"/>
    <w:rsid w:val="28C67687"/>
    <w:rsid w:val="28DF42A5"/>
    <w:rsid w:val="29237E44"/>
    <w:rsid w:val="296E1849"/>
    <w:rsid w:val="29720D27"/>
    <w:rsid w:val="2A4C266E"/>
    <w:rsid w:val="2A625E17"/>
    <w:rsid w:val="2A756C29"/>
    <w:rsid w:val="2AA75F42"/>
    <w:rsid w:val="2AD11208"/>
    <w:rsid w:val="2B142AF9"/>
    <w:rsid w:val="2B284638"/>
    <w:rsid w:val="2B731468"/>
    <w:rsid w:val="2B782D10"/>
    <w:rsid w:val="2BA12CCB"/>
    <w:rsid w:val="2BAA2A9A"/>
    <w:rsid w:val="2BC36FF1"/>
    <w:rsid w:val="2BF253AE"/>
    <w:rsid w:val="2C225919"/>
    <w:rsid w:val="2C393D7D"/>
    <w:rsid w:val="2C430B45"/>
    <w:rsid w:val="2C6F3C4C"/>
    <w:rsid w:val="2C817AB3"/>
    <w:rsid w:val="2C8B2168"/>
    <w:rsid w:val="2CB95CF8"/>
    <w:rsid w:val="2D327DD8"/>
    <w:rsid w:val="2D3A397F"/>
    <w:rsid w:val="2D9906D0"/>
    <w:rsid w:val="2E1D76FC"/>
    <w:rsid w:val="2E397856"/>
    <w:rsid w:val="2E586240"/>
    <w:rsid w:val="2E970D30"/>
    <w:rsid w:val="2F0A4CB7"/>
    <w:rsid w:val="2F473DCF"/>
    <w:rsid w:val="2F5C448C"/>
    <w:rsid w:val="2F8F35AF"/>
    <w:rsid w:val="2FC02E6F"/>
    <w:rsid w:val="2FC87B25"/>
    <w:rsid w:val="300632AC"/>
    <w:rsid w:val="306E6642"/>
    <w:rsid w:val="30B17A2A"/>
    <w:rsid w:val="3152597F"/>
    <w:rsid w:val="31603293"/>
    <w:rsid w:val="316858B7"/>
    <w:rsid w:val="31721C46"/>
    <w:rsid w:val="31950CDB"/>
    <w:rsid w:val="31D6351B"/>
    <w:rsid w:val="31EC1EAB"/>
    <w:rsid w:val="31F604A7"/>
    <w:rsid w:val="321F65B4"/>
    <w:rsid w:val="325966DD"/>
    <w:rsid w:val="32811102"/>
    <w:rsid w:val="32AC4A97"/>
    <w:rsid w:val="32AE7E64"/>
    <w:rsid w:val="32D30C1D"/>
    <w:rsid w:val="33297F74"/>
    <w:rsid w:val="33405D76"/>
    <w:rsid w:val="334912C7"/>
    <w:rsid w:val="33497F9F"/>
    <w:rsid w:val="33857F38"/>
    <w:rsid w:val="339F3E85"/>
    <w:rsid w:val="33AE7E7D"/>
    <w:rsid w:val="33B14D02"/>
    <w:rsid w:val="33F76CC3"/>
    <w:rsid w:val="340D52DD"/>
    <w:rsid w:val="34A11B56"/>
    <w:rsid w:val="34A75291"/>
    <w:rsid w:val="34AD3609"/>
    <w:rsid w:val="34CC6B8D"/>
    <w:rsid w:val="34D87B20"/>
    <w:rsid w:val="34E9605F"/>
    <w:rsid w:val="34F57470"/>
    <w:rsid w:val="35136474"/>
    <w:rsid w:val="35365D30"/>
    <w:rsid w:val="35595B08"/>
    <w:rsid w:val="35754ABE"/>
    <w:rsid w:val="35C07D3C"/>
    <w:rsid w:val="35DB7A64"/>
    <w:rsid w:val="35EE6138"/>
    <w:rsid w:val="35FD18B8"/>
    <w:rsid w:val="3608446C"/>
    <w:rsid w:val="36140B55"/>
    <w:rsid w:val="363E2126"/>
    <w:rsid w:val="36781BE1"/>
    <w:rsid w:val="36CD5879"/>
    <w:rsid w:val="370C49F9"/>
    <w:rsid w:val="37314630"/>
    <w:rsid w:val="3739690C"/>
    <w:rsid w:val="377B7619"/>
    <w:rsid w:val="377F1BD0"/>
    <w:rsid w:val="37A23E34"/>
    <w:rsid w:val="37D91531"/>
    <w:rsid w:val="381A2603"/>
    <w:rsid w:val="384C3975"/>
    <w:rsid w:val="388E3762"/>
    <w:rsid w:val="38BB2241"/>
    <w:rsid w:val="38E14EED"/>
    <w:rsid w:val="38FF2799"/>
    <w:rsid w:val="392113B6"/>
    <w:rsid w:val="393E191C"/>
    <w:rsid w:val="394F79A9"/>
    <w:rsid w:val="39F917AC"/>
    <w:rsid w:val="3A114339"/>
    <w:rsid w:val="3A6B2A44"/>
    <w:rsid w:val="3A9A2A3C"/>
    <w:rsid w:val="3AE0798C"/>
    <w:rsid w:val="3B166BBD"/>
    <w:rsid w:val="3B277885"/>
    <w:rsid w:val="3B6162F8"/>
    <w:rsid w:val="3B685C14"/>
    <w:rsid w:val="3B721FC2"/>
    <w:rsid w:val="3B7D1642"/>
    <w:rsid w:val="3B7E5763"/>
    <w:rsid w:val="3B810F9D"/>
    <w:rsid w:val="3B855F46"/>
    <w:rsid w:val="3B9932EB"/>
    <w:rsid w:val="3B9F2E13"/>
    <w:rsid w:val="3BEF6C6F"/>
    <w:rsid w:val="3C5373E0"/>
    <w:rsid w:val="3C7E0DE7"/>
    <w:rsid w:val="3CAF118B"/>
    <w:rsid w:val="3CD711B4"/>
    <w:rsid w:val="3CED2288"/>
    <w:rsid w:val="3D072121"/>
    <w:rsid w:val="3D186E2F"/>
    <w:rsid w:val="3D354F1E"/>
    <w:rsid w:val="3D7F4F0B"/>
    <w:rsid w:val="3D7F6D93"/>
    <w:rsid w:val="3DD95AFA"/>
    <w:rsid w:val="3DE86719"/>
    <w:rsid w:val="3DEA2D48"/>
    <w:rsid w:val="3DEA7544"/>
    <w:rsid w:val="3DFF1EF8"/>
    <w:rsid w:val="3E36584F"/>
    <w:rsid w:val="3E8B17E0"/>
    <w:rsid w:val="3EB31F65"/>
    <w:rsid w:val="3EF01CBA"/>
    <w:rsid w:val="3F1818E5"/>
    <w:rsid w:val="3F3719D8"/>
    <w:rsid w:val="3F3F7EAB"/>
    <w:rsid w:val="3F5F67F7"/>
    <w:rsid w:val="3F787D93"/>
    <w:rsid w:val="3F8B1D10"/>
    <w:rsid w:val="40F90C7F"/>
    <w:rsid w:val="411357D5"/>
    <w:rsid w:val="42536595"/>
    <w:rsid w:val="42A2251F"/>
    <w:rsid w:val="42AA1947"/>
    <w:rsid w:val="42B82C2B"/>
    <w:rsid w:val="42C56DBF"/>
    <w:rsid w:val="42D252ED"/>
    <w:rsid w:val="42DC3ED2"/>
    <w:rsid w:val="42EF2015"/>
    <w:rsid w:val="42FE74B6"/>
    <w:rsid w:val="43181805"/>
    <w:rsid w:val="431A1150"/>
    <w:rsid w:val="43621F43"/>
    <w:rsid w:val="437652BA"/>
    <w:rsid w:val="439A06F0"/>
    <w:rsid w:val="43BE48F6"/>
    <w:rsid w:val="43BF3924"/>
    <w:rsid w:val="43E96405"/>
    <w:rsid w:val="440E72C3"/>
    <w:rsid w:val="443B2D47"/>
    <w:rsid w:val="445F5174"/>
    <w:rsid w:val="447F785B"/>
    <w:rsid w:val="4484168F"/>
    <w:rsid w:val="44A658FB"/>
    <w:rsid w:val="44B03BC9"/>
    <w:rsid w:val="44EE3341"/>
    <w:rsid w:val="44FB5CD6"/>
    <w:rsid w:val="4579665C"/>
    <w:rsid w:val="45BF6E87"/>
    <w:rsid w:val="45C07584"/>
    <w:rsid w:val="45C83625"/>
    <w:rsid w:val="45F85DE8"/>
    <w:rsid w:val="45FF303A"/>
    <w:rsid w:val="464D6DDD"/>
    <w:rsid w:val="4664559D"/>
    <w:rsid w:val="468D0324"/>
    <w:rsid w:val="46F71A9A"/>
    <w:rsid w:val="473A4A33"/>
    <w:rsid w:val="474D0A7A"/>
    <w:rsid w:val="475E2D19"/>
    <w:rsid w:val="47846BB1"/>
    <w:rsid w:val="47AC3932"/>
    <w:rsid w:val="47BD382B"/>
    <w:rsid w:val="47D81741"/>
    <w:rsid w:val="47EB0CDC"/>
    <w:rsid w:val="47F62EF6"/>
    <w:rsid w:val="47FC51D8"/>
    <w:rsid w:val="482C68E1"/>
    <w:rsid w:val="48630F59"/>
    <w:rsid w:val="487613FD"/>
    <w:rsid w:val="4890546C"/>
    <w:rsid w:val="49085DE2"/>
    <w:rsid w:val="492345E4"/>
    <w:rsid w:val="492A7720"/>
    <w:rsid w:val="49D77AD3"/>
    <w:rsid w:val="49F37126"/>
    <w:rsid w:val="49FF1146"/>
    <w:rsid w:val="4A0952BB"/>
    <w:rsid w:val="4A7F40CE"/>
    <w:rsid w:val="4AEC3932"/>
    <w:rsid w:val="4B183B51"/>
    <w:rsid w:val="4B276F49"/>
    <w:rsid w:val="4B682294"/>
    <w:rsid w:val="4B7E02F8"/>
    <w:rsid w:val="4B8A7D02"/>
    <w:rsid w:val="4BA53213"/>
    <w:rsid w:val="4BFD7E37"/>
    <w:rsid w:val="4C66481B"/>
    <w:rsid w:val="4C702BBA"/>
    <w:rsid w:val="4C805C6D"/>
    <w:rsid w:val="4C816154"/>
    <w:rsid w:val="4CD2760A"/>
    <w:rsid w:val="4CE85361"/>
    <w:rsid w:val="4CFB3FC6"/>
    <w:rsid w:val="4D4F4AA1"/>
    <w:rsid w:val="4D752DFF"/>
    <w:rsid w:val="4DE62960"/>
    <w:rsid w:val="4E100D3C"/>
    <w:rsid w:val="4E1717CD"/>
    <w:rsid w:val="4E555139"/>
    <w:rsid w:val="4E6526E6"/>
    <w:rsid w:val="4E6D5F24"/>
    <w:rsid w:val="4E7E4CF2"/>
    <w:rsid w:val="4E93279E"/>
    <w:rsid w:val="4F2E6D0D"/>
    <w:rsid w:val="4F3C0164"/>
    <w:rsid w:val="4F74653C"/>
    <w:rsid w:val="4F9C0D17"/>
    <w:rsid w:val="4FC4470D"/>
    <w:rsid w:val="4FDD24ED"/>
    <w:rsid w:val="4FDD3E90"/>
    <w:rsid w:val="4FE66766"/>
    <w:rsid w:val="4FEF45A1"/>
    <w:rsid w:val="500E415F"/>
    <w:rsid w:val="5037777B"/>
    <w:rsid w:val="506F17F4"/>
    <w:rsid w:val="50785996"/>
    <w:rsid w:val="508E15EE"/>
    <w:rsid w:val="50AA5C04"/>
    <w:rsid w:val="50F20854"/>
    <w:rsid w:val="51361776"/>
    <w:rsid w:val="51524D6B"/>
    <w:rsid w:val="51600B1E"/>
    <w:rsid w:val="51B40016"/>
    <w:rsid w:val="51C27A83"/>
    <w:rsid w:val="51C71E63"/>
    <w:rsid w:val="521C44D2"/>
    <w:rsid w:val="52AC24D9"/>
    <w:rsid w:val="538A5890"/>
    <w:rsid w:val="53B27B60"/>
    <w:rsid w:val="53B75D03"/>
    <w:rsid w:val="53B77680"/>
    <w:rsid w:val="53E36CF0"/>
    <w:rsid w:val="542506A6"/>
    <w:rsid w:val="54797ED7"/>
    <w:rsid w:val="548B19E0"/>
    <w:rsid w:val="549417C5"/>
    <w:rsid w:val="54A95133"/>
    <w:rsid w:val="54D00DD3"/>
    <w:rsid w:val="551132B2"/>
    <w:rsid w:val="5549548F"/>
    <w:rsid w:val="557C0A69"/>
    <w:rsid w:val="55887E86"/>
    <w:rsid w:val="55891293"/>
    <w:rsid w:val="558D30F0"/>
    <w:rsid w:val="55D022A9"/>
    <w:rsid w:val="55EC46F1"/>
    <w:rsid w:val="566768F0"/>
    <w:rsid w:val="5676087B"/>
    <w:rsid w:val="56AF68B3"/>
    <w:rsid w:val="56C10498"/>
    <w:rsid w:val="56D25390"/>
    <w:rsid w:val="56D652C3"/>
    <w:rsid w:val="56E91712"/>
    <w:rsid w:val="57160486"/>
    <w:rsid w:val="57355E7D"/>
    <w:rsid w:val="573D0770"/>
    <w:rsid w:val="5756176F"/>
    <w:rsid w:val="57601DAE"/>
    <w:rsid w:val="576905EF"/>
    <w:rsid w:val="579D0C33"/>
    <w:rsid w:val="57FB1974"/>
    <w:rsid w:val="57FD6362"/>
    <w:rsid w:val="581574A4"/>
    <w:rsid w:val="581B4472"/>
    <w:rsid w:val="583C2FDE"/>
    <w:rsid w:val="58E72BF9"/>
    <w:rsid w:val="594F6C2F"/>
    <w:rsid w:val="595A4C77"/>
    <w:rsid w:val="596A66E7"/>
    <w:rsid w:val="59A01DC1"/>
    <w:rsid w:val="59B02EF9"/>
    <w:rsid w:val="59D46C1D"/>
    <w:rsid w:val="59D91CF2"/>
    <w:rsid w:val="59E14449"/>
    <w:rsid w:val="5A0C0BD4"/>
    <w:rsid w:val="5A5B4BA8"/>
    <w:rsid w:val="5A5F7BFB"/>
    <w:rsid w:val="5A904C66"/>
    <w:rsid w:val="5A920207"/>
    <w:rsid w:val="5ACE7D24"/>
    <w:rsid w:val="5B153346"/>
    <w:rsid w:val="5B4935A4"/>
    <w:rsid w:val="5B4C790C"/>
    <w:rsid w:val="5BAB7008"/>
    <w:rsid w:val="5BB4099C"/>
    <w:rsid w:val="5BD1500D"/>
    <w:rsid w:val="5BDB6F0F"/>
    <w:rsid w:val="5C114079"/>
    <w:rsid w:val="5C6B2001"/>
    <w:rsid w:val="5CB155B2"/>
    <w:rsid w:val="5CD37D3F"/>
    <w:rsid w:val="5CF86948"/>
    <w:rsid w:val="5DAC6E2E"/>
    <w:rsid w:val="5DC37F92"/>
    <w:rsid w:val="5DD97CFF"/>
    <w:rsid w:val="5E3B214C"/>
    <w:rsid w:val="5E5516EB"/>
    <w:rsid w:val="5E826299"/>
    <w:rsid w:val="5EB24D06"/>
    <w:rsid w:val="5EBE5924"/>
    <w:rsid w:val="5EC00FDE"/>
    <w:rsid w:val="5EEC725C"/>
    <w:rsid w:val="5F0D13E6"/>
    <w:rsid w:val="5F5F5A27"/>
    <w:rsid w:val="5F9F4CB2"/>
    <w:rsid w:val="5FBC0DED"/>
    <w:rsid w:val="5FDC2801"/>
    <w:rsid w:val="6061238B"/>
    <w:rsid w:val="6062651D"/>
    <w:rsid w:val="606E146E"/>
    <w:rsid w:val="608E76D1"/>
    <w:rsid w:val="60DA374D"/>
    <w:rsid w:val="60F56641"/>
    <w:rsid w:val="610A1218"/>
    <w:rsid w:val="6126107F"/>
    <w:rsid w:val="61876294"/>
    <w:rsid w:val="61CE2ABF"/>
    <w:rsid w:val="624F051E"/>
    <w:rsid w:val="625A0DB8"/>
    <w:rsid w:val="627F348D"/>
    <w:rsid w:val="62D500B6"/>
    <w:rsid w:val="62D82626"/>
    <w:rsid w:val="631C2993"/>
    <w:rsid w:val="631E1940"/>
    <w:rsid w:val="63413B72"/>
    <w:rsid w:val="63562062"/>
    <w:rsid w:val="6365091F"/>
    <w:rsid w:val="63D13E08"/>
    <w:rsid w:val="63ED762C"/>
    <w:rsid w:val="64140E68"/>
    <w:rsid w:val="643B5DC5"/>
    <w:rsid w:val="64464B7A"/>
    <w:rsid w:val="644A418E"/>
    <w:rsid w:val="64544120"/>
    <w:rsid w:val="64571B9A"/>
    <w:rsid w:val="646F7733"/>
    <w:rsid w:val="64947EEE"/>
    <w:rsid w:val="64A5749D"/>
    <w:rsid w:val="64A8075D"/>
    <w:rsid w:val="64AC71C7"/>
    <w:rsid w:val="64E92558"/>
    <w:rsid w:val="65307F28"/>
    <w:rsid w:val="654E6347"/>
    <w:rsid w:val="65655109"/>
    <w:rsid w:val="65683A22"/>
    <w:rsid w:val="657813C0"/>
    <w:rsid w:val="657E107F"/>
    <w:rsid w:val="659C5A52"/>
    <w:rsid w:val="65BC07A1"/>
    <w:rsid w:val="65C0786F"/>
    <w:rsid w:val="65D95392"/>
    <w:rsid w:val="65F61953"/>
    <w:rsid w:val="66044B74"/>
    <w:rsid w:val="660A1BFF"/>
    <w:rsid w:val="660D6065"/>
    <w:rsid w:val="66D01FBB"/>
    <w:rsid w:val="66EE21B8"/>
    <w:rsid w:val="670D7877"/>
    <w:rsid w:val="67580329"/>
    <w:rsid w:val="676B51FA"/>
    <w:rsid w:val="67804428"/>
    <w:rsid w:val="67831A61"/>
    <w:rsid w:val="67E41ECA"/>
    <w:rsid w:val="68224E50"/>
    <w:rsid w:val="68901326"/>
    <w:rsid w:val="68A00632"/>
    <w:rsid w:val="68B7198B"/>
    <w:rsid w:val="68E72B1B"/>
    <w:rsid w:val="68ED4DD5"/>
    <w:rsid w:val="68F50D74"/>
    <w:rsid w:val="68FB3B7E"/>
    <w:rsid w:val="690762AF"/>
    <w:rsid w:val="692F69BC"/>
    <w:rsid w:val="69532032"/>
    <w:rsid w:val="696C3D8B"/>
    <w:rsid w:val="6981506D"/>
    <w:rsid w:val="69886988"/>
    <w:rsid w:val="6996428A"/>
    <w:rsid w:val="69A0054D"/>
    <w:rsid w:val="69D05B72"/>
    <w:rsid w:val="6A2121F5"/>
    <w:rsid w:val="6A345A94"/>
    <w:rsid w:val="6A735F5E"/>
    <w:rsid w:val="6A765692"/>
    <w:rsid w:val="6A77390C"/>
    <w:rsid w:val="6A8029CC"/>
    <w:rsid w:val="6AA257A1"/>
    <w:rsid w:val="6AF3713C"/>
    <w:rsid w:val="6B376C34"/>
    <w:rsid w:val="6B5914FD"/>
    <w:rsid w:val="6B7A0BFE"/>
    <w:rsid w:val="6BA87F93"/>
    <w:rsid w:val="6BD84A7F"/>
    <w:rsid w:val="6BDB6CC5"/>
    <w:rsid w:val="6C317CED"/>
    <w:rsid w:val="6C3549A4"/>
    <w:rsid w:val="6CC02D04"/>
    <w:rsid w:val="6CC46F01"/>
    <w:rsid w:val="6CF07891"/>
    <w:rsid w:val="6CF740AF"/>
    <w:rsid w:val="6D256A74"/>
    <w:rsid w:val="6D272450"/>
    <w:rsid w:val="6D390973"/>
    <w:rsid w:val="6D65169A"/>
    <w:rsid w:val="6D6D5F4E"/>
    <w:rsid w:val="6DB854D6"/>
    <w:rsid w:val="6E2C06AD"/>
    <w:rsid w:val="6E4008B0"/>
    <w:rsid w:val="6E4D2CEF"/>
    <w:rsid w:val="6E6F6D55"/>
    <w:rsid w:val="6EC543D2"/>
    <w:rsid w:val="6ED64406"/>
    <w:rsid w:val="6F495D69"/>
    <w:rsid w:val="6F734208"/>
    <w:rsid w:val="6F93454C"/>
    <w:rsid w:val="6FC07A69"/>
    <w:rsid w:val="6FC17707"/>
    <w:rsid w:val="704D133D"/>
    <w:rsid w:val="706816A1"/>
    <w:rsid w:val="70C16F7A"/>
    <w:rsid w:val="710F6F32"/>
    <w:rsid w:val="71512C49"/>
    <w:rsid w:val="71661C44"/>
    <w:rsid w:val="71733A23"/>
    <w:rsid w:val="717E223A"/>
    <w:rsid w:val="71B1120F"/>
    <w:rsid w:val="71B175F3"/>
    <w:rsid w:val="71E2287C"/>
    <w:rsid w:val="71EE3A4C"/>
    <w:rsid w:val="71F54C9C"/>
    <w:rsid w:val="72336D94"/>
    <w:rsid w:val="72561178"/>
    <w:rsid w:val="7265754A"/>
    <w:rsid w:val="726C646F"/>
    <w:rsid w:val="728A63D1"/>
    <w:rsid w:val="729131B3"/>
    <w:rsid w:val="72A2358B"/>
    <w:rsid w:val="72D67B06"/>
    <w:rsid w:val="72FA624C"/>
    <w:rsid w:val="72FF6318"/>
    <w:rsid w:val="733259D3"/>
    <w:rsid w:val="736C170B"/>
    <w:rsid w:val="739D7F65"/>
    <w:rsid w:val="73BA6DE5"/>
    <w:rsid w:val="73CB58A7"/>
    <w:rsid w:val="73E56406"/>
    <w:rsid w:val="74055B10"/>
    <w:rsid w:val="74264B95"/>
    <w:rsid w:val="74274932"/>
    <w:rsid w:val="743025E1"/>
    <w:rsid w:val="74553B4B"/>
    <w:rsid w:val="745E6993"/>
    <w:rsid w:val="74725AF1"/>
    <w:rsid w:val="74745B1F"/>
    <w:rsid w:val="749D661B"/>
    <w:rsid w:val="74FD02B3"/>
    <w:rsid w:val="75295C38"/>
    <w:rsid w:val="755331EC"/>
    <w:rsid w:val="75707649"/>
    <w:rsid w:val="75C54221"/>
    <w:rsid w:val="75CD3DB4"/>
    <w:rsid w:val="75F34E22"/>
    <w:rsid w:val="769876C2"/>
    <w:rsid w:val="76C667A4"/>
    <w:rsid w:val="77090A3A"/>
    <w:rsid w:val="77365109"/>
    <w:rsid w:val="773C77FD"/>
    <w:rsid w:val="775D76DD"/>
    <w:rsid w:val="777827AE"/>
    <w:rsid w:val="777D7660"/>
    <w:rsid w:val="77801522"/>
    <w:rsid w:val="778B2E11"/>
    <w:rsid w:val="77A2667C"/>
    <w:rsid w:val="77F179AF"/>
    <w:rsid w:val="785C5927"/>
    <w:rsid w:val="78827DDA"/>
    <w:rsid w:val="788718C6"/>
    <w:rsid w:val="78BD3664"/>
    <w:rsid w:val="78BE0408"/>
    <w:rsid w:val="78EC4A61"/>
    <w:rsid w:val="78F74AA6"/>
    <w:rsid w:val="796F357C"/>
    <w:rsid w:val="79E119B9"/>
    <w:rsid w:val="79E50035"/>
    <w:rsid w:val="7A0D633B"/>
    <w:rsid w:val="7A125A55"/>
    <w:rsid w:val="7A1E0228"/>
    <w:rsid w:val="7A265A50"/>
    <w:rsid w:val="7A26713E"/>
    <w:rsid w:val="7A3B09D3"/>
    <w:rsid w:val="7A63163F"/>
    <w:rsid w:val="7A8F5235"/>
    <w:rsid w:val="7A9B0723"/>
    <w:rsid w:val="7AAC4B34"/>
    <w:rsid w:val="7AC132B9"/>
    <w:rsid w:val="7AE3339F"/>
    <w:rsid w:val="7AEF5512"/>
    <w:rsid w:val="7B041455"/>
    <w:rsid w:val="7B3C50D0"/>
    <w:rsid w:val="7B722606"/>
    <w:rsid w:val="7B99290A"/>
    <w:rsid w:val="7B9A2382"/>
    <w:rsid w:val="7BD61B09"/>
    <w:rsid w:val="7C2F1127"/>
    <w:rsid w:val="7C335EBE"/>
    <w:rsid w:val="7D15098A"/>
    <w:rsid w:val="7D263586"/>
    <w:rsid w:val="7D2C488D"/>
    <w:rsid w:val="7D4935BC"/>
    <w:rsid w:val="7D783C20"/>
    <w:rsid w:val="7DAA2184"/>
    <w:rsid w:val="7DBF221F"/>
    <w:rsid w:val="7DCD56EF"/>
    <w:rsid w:val="7E0562F6"/>
    <w:rsid w:val="7E2E71D7"/>
    <w:rsid w:val="7E490669"/>
    <w:rsid w:val="7E5B7F26"/>
    <w:rsid w:val="7E944FD9"/>
    <w:rsid w:val="7EA45AFC"/>
    <w:rsid w:val="7EAD75B3"/>
    <w:rsid w:val="7ED3094B"/>
    <w:rsid w:val="7ED52362"/>
    <w:rsid w:val="7EDE70F9"/>
    <w:rsid w:val="7EE215A1"/>
    <w:rsid w:val="7F044388"/>
    <w:rsid w:val="7F060D0E"/>
    <w:rsid w:val="7F1E1B03"/>
    <w:rsid w:val="7F5A4784"/>
    <w:rsid w:val="7F66211F"/>
    <w:rsid w:val="7FDD6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9"/>
    <w:pPr>
      <w:keepNext/>
      <w:keepLines/>
      <w:spacing w:before="340" w:after="330" w:line="360" w:lineRule="auto"/>
      <w:jc w:val="center"/>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6"/>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Normal Indent"/>
    <w:basedOn w:val="1"/>
    <w:qFormat/>
    <w:uiPriority w:val="0"/>
    <w:pPr>
      <w:ind w:firstLine="420"/>
    </w:pPr>
    <w:rPr>
      <w:szCs w:val="21"/>
    </w:rPr>
  </w:style>
  <w:style w:type="paragraph" w:styleId="7">
    <w:name w:val="Body Text Indent"/>
    <w:basedOn w:val="1"/>
    <w:qFormat/>
    <w:uiPriority w:val="0"/>
    <w:pPr>
      <w:ind w:left="-105" w:firstLine="232" w:firstLineChars="232"/>
    </w:pPr>
    <w:rPr>
      <w:rFonts w:eastAsia="仿宋_GB2312"/>
      <w:sz w:val="32"/>
    </w:rPr>
  </w:style>
  <w:style w:type="paragraph" w:styleId="8">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Indent 3"/>
    <w:basedOn w:val="1"/>
    <w:qFormat/>
    <w:uiPriority w:val="0"/>
    <w:pPr>
      <w:spacing w:after="120"/>
      <w:ind w:left="200" w:leftChars="200"/>
    </w:pPr>
    <w:rPr>
      <w:sz w:val="16"/>
      <w:szCs w:val="16"/>
    </w:rPr>
  </w:style>
  <w:style w:type="paragraph" w:styleId="12">
    <w:name w:val="Normal (Web)"/>
    <w:basedOn w:val="1"/>
    <w:unhideWhenUsed/>
    <w:uiPriority w:val="0"/>
    <w:pPr>
      <w:spacing w:before="100" w:beforeAutospacing="1" w:after="100" w:afterAutospacing="1"/>
    </w:pPr>
    <w:rPr>
      <w:rFonts w:ascii="宋体" w:hAnsi="宋体" w:cs="宋体"/>
      <w:sz w:val="24"/>
      <w:szCs w:val="24"/>
      <w:lang w:val="en-US" w:eastAsia="zh-CN"/>
    </w:rPr>
  </w:style>
  <w:style w:type="paragraph" w:styleId="13">
    <w:name w:val="Body Text First Indent"/>
    <w:basedOn w:val="2"/>
    <w:qFormat/>
    <w:uiPriority w:val="0"/>
    <w:pPr>
      <w:ind w:firstLine="420" w:firstLineChars="100"/>
    </w:pPr>
    <w:rPr>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bCs/>
    </w:rPr>
  </w:style>
  <w:style w:type="character" w:styleId="18">
    <w:name w:val="Emphasis"/>
    <w:basedOn w:val="16"/>
    <w:qFormat/>
    <w:uiPriority w:val="0"/>
    <w:rPr>
      <w:i/>
    </w:rPr>
  </w:style>
  <w:style w:type="character" w:styleId="19">
    <w:name w:val="Hyperlink"/>
    <w:qFormat/>
    <w:uiPriority w:val="0"/>
    <w:rPr>
      <w:color w:val="006699"/>
      <w:u w:val="single"/>
    </w:rPr>
  </w:style>
  <w:style w:type="character" w:customStyle="1" w:styleId="20">
    <w:name w:val="font51"/>
    <w:basedOn w:val="16"/>
    <w:qFormat/>
    <w:uiPriority w:val="0"/>
    <w:rPr>
      <w:rFonts w:hint="default" w:ascii="Times New Roman" w:hAnsi="Times New Roman" w:cs="Times New Roman"/>
      <w:color w:val="000000"/>
      <w:sz w:val="22"/>
      <w:szCs w:val="22"/>
      <w:u w:val="none"/>
    </w:rPr>
  </w:style>
  <w:style w:type="character" w:customStyle="1" w:styleId="21">
    <w:name w:val="font21"/>
    <w:basedOn w:val="16"/>
    <w:qFormat/>
    <w:uiPriority w:val="0"/>
    <w:rPr>
      <w:rFonts w:hint="eastAsia" w:ascii="宋体" w:hAnsi="宋体" w:eastAsia="宋体" w:cs="宋体"/>
      <w:color w:val="000000"/>
      <w:sz w:val="22"/>
      <w:szCs w:val="22"/>
      <w:u w:val="none"/>
    </w:rPr>
  </w:style>
  <w:style w:type="character" w:customStyle="1" w:styleId="22">
    <w:name w:val="font41"/>
    <w:basedOn w:val="16"/>
    <w:qFormat/>
    <w:uiPriority w:val="0"/>
    <w:rPr>
      <w:rFonts w:hint="eastAsia" w:ascii="宋体" w:hAnsi="宋体" w:eastAsia="宋体" w:cs="宋体"/>
      <w:color w:val="000000"/>
      <w:sz w:val="22"/>
      <w:szCs w:val="22"/>
      <w:u w:val="none"/>
    </w:rPr>
  </w:style>
  <w:style w:type="character" w:customStyle="1" w:styleId="23">
    <w:name w:val="font11"/>
    <w:basedOn w:val="16"/>
    <w:qFormat/>
    <w:uiPriority w:val="0"/>
    <w:rPr>
      <w:rFonts w:hint="eastAsia" w:ascii="宋体" w:hAnsi="宋体" w:eastAsia="宋体" w:cs="宋体"/>
      <w:color w:val="000000"/>
      <w:sz w:val="20"/>
      <w:szCs w:val="20"/>
      <w:u w:val="none"/>
      <w:vertAlign w:val="superscript"/>
    </w:rPr>
  </w:style>
  <w:style w:type="character" w:customStyle="1" w:styleId="24">
    <w:name w:val="font31"/>
    <w:basedOn w:val="16"/>
    <w:qFormat/>
    <w:uiPriority w:val="0"/>
    <w:rPr>
      <w:rFonts w:hint="default" w:ascii="Times New Roman" w:hAnsi="Times New Roman" w:cs="Times New Roman"/>
      <w:color w:val="000000"/>
      <w:sz w:val="22"/>
      <w:szCs w:val="22"/>
      <w:u w:val="none"/>
    </w:rPr>
  </w:style>
  <w:style w:type="character" w:customStyle="1" w:styleId="25">
    <w:name w:val="font61"/>
    <w:basedOn w:val="16"/>
    <w:qFormat/>
    <w:uiPriority w:val="0"/>
    <w:rPr>
      <w:rFonts w:hint="default" w:ascii="Times New Roman" w:hAnsi="Times New Roman" w:cs="Times New Roman"/>
      <w:color w:val="000000"/>
      <w:sz w:val="22"/>
      <w:szCs w:val="22"/>
      <w:u w:val="none"/>
    </w:rPr>
  </w:style>
  <w:style w:type="character" w:customStyle="1" w:styleId="26">
    <w:name w:val="font01"/>
    <w:basedOn w:val="16"/>
    <w:qFormat/>
    <w:uiPriority w:val="0"/>
    <w:rPr>
      <w:rFonts w:ascii="font-weight : 400" w:hAnsi="font-weight : 400" w:eastAsia="font-weight : 400" w:cs="font-weight : 400"/>
      <w:color w:val="000000"/>
      <w:sz w:val="22"/>
      <w:szCs w:val="22"/>
      <w:u w:val="none"/>
    </w:rPr>
  </w:style>
  <w:style w:type="paragraph" w:customStyle="1" w:styleId="27">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paragraph" w:customStyle="1" w:styleId="28">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29">
    <w:name w:val="Char"/>
    <w:basedOn w:val="1"/>
    <w:qFormat/>
    <w:uiPriority w:val="0"/>
    <w:pPr>
      <w:tabs>
        <w:tab w:val="left" w:pos="360"/>
      </w:tabs>
    </w:pPr>
    <w:rPr>
      <w:sz w:val="24"/>
    </w:rPr>
  </w:style>
  <w:style w:type="paragraph" w:styleId="30">
    <w:name w:val="List Paragraph"/>
    <w:basedOn w:val="1"/>
    <w:qFormat/>
    <w:uiPriority w:val="34"/>
    <w:pPr>
      <w:ind w:firstLine="420" w:firstLineChars="200"/>
    </w:pPr>
    <w:rPr>
      <w:rFonts w:ascii="MetaPlusLF-Regular" w:hAnsi="MetaPlusLF-Regula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848</Words>
  <Characters>4838</Characters>
  <Lines>40</Lines>
  <Paragraphs>11</Paragraphs>
  <TotalTime>12</TotalTime>
  <ScaleCrop>false</ScaleCrop>
  <LinksUpToDate>false</LinksUpToDate>
  <CharactersWithSpaces>5675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2020-04-27T07:18:00Z</dcterms:created>
  <dc:creator>yy</dc:creator>
  <cp:lastModifiedBy>有</cp:lastModifiedBy>
  <cp:lastPrinted>2020-11-30T06:35:00Z</cp:lastPrinted>
  <dcterms:modified xsi:type="dcterms:W3CDTF">2020-12-01T10:19:42Z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