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公告（二次）</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117</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文港中路校区人防设施整改完善项目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文港中路校区人防设施整改完善项目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tbl>
      <w:tblPr>
        <w:tblStyle w:val="11"/>
        <w:tblW w:w="10091" w:type="dxa"/>
        <w:jc w:val="center"/>
        <w:tblLayout w:type="fixed"/>
        <w:tblCellMar>
          <w:top w:w="0" w:type="dxa"/>
          <w:left w:w="0" w:type="dxa"/>
          <w:bottom w:w="0" w:type="dxa"/>
          <w:right w:w="0" w:type="dxa"/>
        </w:tblCellMar>
      </w:tblPr>
      <w:tblGrid>
        <w:gridCol w:w="540"/>
        <w:gridCol w:w="885"/>
        <w:gridCol w:w="2625"/>
        <w:gridCol w:w="2020"/>
        <w:gridCol w:w="582"/>
        <w:gridCol w:w="760"/>
        <w:gridCol w:w="1339"/>
        <w:gridCol w:w="1340"/>
      </w:tblGrid>
      <w:tr>
        <w:tblPrEx>
          <w:tblCellMar>
            <w:top w:w="0" w:type="dxa"/>
            <w:left w:w="0" w:type="dxa"/>
            <w:bottom w:w="0" w:type="dxa"/>
            <w:right w:w="0" w:type="dxa"/>
          </w:tblCellMar>
        </w:tblPrEx>
        <w:trPr>
          <w:trHeight w:val="405" w:hRule="atLeast"/>
          <w:jc w:val="center"/>
        </w:trPr>
        <w:tc>
          <w:tcPr>
            <w:tcW w:w="10091"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b/>
                <w:bCs/>
                <w:color w:val="000000"/>
                <w:kern w:val="0"/>
                <w:szCs w:val="21"/>
                <w:lang w:eastAsia="zh-CN" w:bidi="ar"/>
              </w:rPr>
              <w:t>油漆工程量</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项目</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型号</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总面积</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88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油漆</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悬摆式防爆波活门</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HK400(5)</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2.71</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8.13</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钢筋砼活门槛防护密闭门</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HHFM1520(6)</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9.66</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77.28</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钢筋砼活门槛防护密闭门</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HHFM2020(6)</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12.66</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50.64</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钢筋砼密闭门</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HM0716</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4.62</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4.62</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钢筋砼防护密闭门</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HFM1020(6)</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7.26</w:t>
            </w: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7.26</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小计</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147.93</w:t>
            </w:r>
          </w:p>
        </w:tc>
      </w:tr>
      <w:tr>
        <w:tblPrEx>
          <w:tblCellMar>
            <w:top w:w="0" w:type="dxa"/>
            <w:left w:w="0" w:type="dxa"/>
            <w:bottom w:w="0" w:type="dxa"/>
            <w:right w:w="0" w:type="dxa"/>
          </w:tblCellMar>
        </w:tblPrEx>
        <w:trPr>
          <w:trHeight w:val="405" w:hRule="atLeast"/>
          <w:jc w:val="center"/>
        </w:trPr>
        <w:tc>
          <w:tcPr>
            <w:tcW w:w="607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合计</w:t>
            </w:r>
          </w:p>
        </w:tc>
        <w:tc>
          <w:tcPr>
            <w:tcW w:w="4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r>
      <w:tr>
        <w:tblPrEx>
          <w:tblCellMar>
            <w:top w:w="0" w:type="dxa"/>
            <w:left w:w="0" w:type="dxa"/>
            <w:bottom w:w="0" w:type="dxa"/>
            <w:right w:w="0" w:type="dxa"/>
          </w:tblCellMar>
        </w:tblPrEx>
        <w:trPr>
          <w:trHeight w:val="405" w:hRule="atLeast"/>
          <w:jc w:val="center"/>
        </w:trPr>
        <w:tc>
          <w:tcPr>
            <w:tcW w:w="10091"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b/>
                <w:bCs/>
                <w:color w:val="000000"/>
                <w:kern w:val="0"/>
                <w:szCs w:val="21"/>
                <w:lang w:eastAsia="zh-CN" w:bidi="ar"/>
              </w:rPr>
              <w:t>项目报价</w:t>
            </w: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项目</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名称</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型号</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c>
          <w:tcPr>
            <w:tcW w:w="13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单价（元）</w:t>
            </w:r>
          </w:p>
        </w:tc>
        <w:tc>
          <w:tcPr>
            <w:tcW w:w="13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金额（元）</w:t>
            </w:r>
          </w:p>
        </w:tc>
      </w:tr>
      <w:tr>
        <w:tblPrEx>
          <w:tblCellMar>
            <w:top w:w="0" w:type="dxa"/>
            <w:left w:w="0" w:type="dxa"/>
            <w:bottom w:w="0" w:type="dxa"/>
            <w:right w:w="0" w:type="dxa"/>
          </w:tblCellMar>
        </w:tblPrEx>
        <w:trPr>
          <w:trHeight w:val="7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w:t>
            </w:r>
          </w:p>
        </w:tc>
        <w:tc>
          <w:tcPr>
            <w:tcW w:w="88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油漆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清理、除锈、打磨</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147.93㎡</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元</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7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885"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批腻子</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147.93㎡</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元</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7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w:t>
            </w:r>
          </w:p>
        </w:tc>
        <w:tc>
          <w:tcPr>
            <w:tcW w:w="885"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第一遍漆</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147.93㎡</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元</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7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885"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第二遍漆</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147.93㎡</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元</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7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w:t>
            </w:r>
          </w:p>
        </w:tc>
        <w:tc>
          <w:tcPr>
            <w:tcW w:w="88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喷字</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147.93㎡</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元</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bidi="ar"/>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7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w:t>
            </w:r>
          </w:p>
        </w:tc>
        <w:tc>
          <w:tcPr>
            <w:tcW w:w="88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标识标牌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人防提示牌</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立柱式（双面）950*400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7</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人防工程示意图</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1300*800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60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8</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人防工程维护管理制度制度牌</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800*600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9</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人防工程平时使用须知</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800*600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bidi="ar"/>
              </w:rPr>
              <w:t>1</w:t>
            </w:r>
            <w:r>
              <w:rPr>
                <w:rFonts w:hint="eastAsia" w:ascii="宋体" w:hAnsi="宋体" w:cs="宋体"/>
                <w:color w:val="000000"/>
                <w:kern w:val="0"/>
                <w:szCs w:val="21"/>
                <w:lang w:val="en-US" w:eastAsia="zh-CN" w:bidi="ar"/>
              </w:rPr>
              <w:t>0</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人员掩蔽工程引导图</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800*540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bidi="ar"/>
              </w:rPr>
              <w:t>1</w:t>
            </w:r>
            <w:r>
              <w:rPr>
                <w:rFonts w:hint="eastAsia" w:ascii="宋体" w:hAnsi="宋体" w:cs="宋体"/>
                <w:color w:val="000000"/>
                <w:kern w:val="0"/>
                <w:szCs w:val="21"/>
                <w:lang w:val="en-US" w:eastAsia="zh-CN" w:bidi="ar"/>
              </w:rPr>
              <w:t>1</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人防工程标识牌</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中号（700*450）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64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bidi="ar"/>
              </w:rPr>
              <w:t>1</w:t>
            </w:r>
            <w:r>
              <w:rPr>
                <w:rFonts w:hint="eastAsia" w:ascii="宋体" w:hAnsi="宋体" w:cs="宋体"/>
                <w:color w:val="000000"/>
                <w:kern w:val="0"/>
                <w:szCs w:val="21"/>
                <w:lang w:val="en-US" w:eastAsia="zh-CN" w:bidi="ar"/>
              </w:rPr>
              <w:t>2</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吊链式引导牌</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战时主要出入口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（1000*400）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64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13</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战时次要出入口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（1000*400）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64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14</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楼梯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（1000*400）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水箱平战转换措施示意牌</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1200*800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干厕平战转换措施示意牌</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1200*800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提示性标牌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（500*170）</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人防工程严禁破坏</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地面湿滑、小心滑倒</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注意管线、小心碰头</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内部空间、严禁烟火</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6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二维码（洗消间、三种通风方式）</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150*150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660"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应配件墙体标识：宽900 宽200</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建筑面积</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1050</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应配件柱体标识：</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900</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米</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非机动车坡道侧墙体标识</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900×10米</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根</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墙体标注（字体高度140mm)</w:t>
            </w: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人防工程、严禁破坏</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人防工程、防毒通道</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Cs w:val="21"/>
              </w:rPr>
            </w:pPr>
          </w:p>
        </w:tc>
        <w:tc>
          <w:tcPr>
            <w:tcW w:w="2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人防工程、密闭通道</w:t>
            </w: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小计</w:t>
            </w:r>
          </w:p>
        </w:tc>
        <w:tc>
          <w:tcPr>
            <w:tcW w:w="2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c>
          <w:tcPr>
            <w:tcW w:w="7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Cs w:val="21"/>
              </w:rPr>
            </w:pPr>
          </w:p>
        </w:tc>
        <w:tc>
          <w:tcPr>
            <w:tcW w:w="1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405" w:hRule="atLeast"/>
          <w:jc w:val="center"/>
        </w:trPr>
        <w:tc>
          <w:tcPr>
            <w:tcW w:w="40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合计</w:t>
            </w:r>
          </w:p>
        </w:tc>
        <w:tc>
          <w:tcPr>
            <w:tcW w:w="604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r>
        <w:rPr>
          <w:rFonts w:hint="eastAsia" w:ascii="仿宋_GB2312" w:eastAsia="仿宋_GB2312" w:cs="仿宋_GB2312"/>
          <w:color w:val="000000"/>
          <w:sz w:val="28"/>
          <w:szCs w:val="28"/>
          <w:lang w:eastAsia="zh-CN"/>
        </w:rPr>
        <w:t>，具备《人防防护设备定点生产和安装企业资格认定证书》</w:t>
      </w:r>
      <w:r>
        <w:rPr>
          <w:rFonts w:hint="eastAsia" w:ascii="仿宋_GB2312" w:eastAsia="仿宋_GB2312" w:cs="仿宋_GB2312"/>
          <w:color w:val="000000"/>
          <w:sz w:val="28"/>
          <w:szCs w:val="28"/>
        </w:rPr>
        <w:t>。</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《人防防护设备定点生产和安装企业资格认定证书》（</w:t>
      </w:r>
      <w:r>
        <w:rPr>
          <w:rFonts w:hint="eastAsia" w:ascii="仿宋_GB2312" w:eastAsia="仿宋_GB2312" w:cs="仿宋_GB2312"/>
          <w:b/>
          <w:bCs/>
          <w:color w:val="000000"/>
          <w:sz w:val="28"/>
          <w:szCs w:val="28"/>
          <w:u w:val="single"/>
        </w:rPr>
        <w:t>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文港中路校区人防设施整改完善项目</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施工</w:t>
      </w:r>
      <w:r>
        <w:rPr>
          <w:rFonts w:hint="eastAsia" w:ascii="仿宋_GB2312" w:hAnsi="仿宋_GB2312" w:eastAsia="仿宋_GB2312" w:cs="仿宋_GB2312"/>
          <w:kern w:val="0"/>
          <w:sz w:val="28"/>
          <w:szCs w:val="28"/>
        </w:rPr>
        <w:t>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10</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r>
        <w:rPr>
          <w:rFonts w:hint="eastAsia" w:ascii="仿宋_GB2312" w:hAnsi="仿宋_GB2312" w:eastAsia="仿宋_GB2312" w:cs="仿宋_GB2312"/>
          <w:color w:val="000000"/>
          <w:kern w:val="0"/>
          <w:sz w:val="28"/>
          <w:szCs w:val="28"/>
          <w:lang w:eastAsia="zh-CN"/>
        </w:rPr>
        <w:t>完成项目</w:t>
      </w:r>
      <w:r>
        <w:rPr>
          <w:rFonts w:hint="eastAsia" w:ascii="仿宋_GB2312" w:hAnsi="仿宋_GB2312" w:eastAsia="仿宋_GB2312" w:cs="仿宋_GB2312"/>
          <w:color w:val="000000"/>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．质量标准：合格，按国家</w:t>
      </w:r>
      <w:r>
        <w:rPr>
          <w:rFonts w:hint="eastAsia" w:ascii="仿宋_GB2312" w:hAnsi="仿宋_GB2312" w:eastAsia="仿宋_GB2312" w:cs="仿宋_GB2312"/>
          <w:kern w:val="0"/>
          <w:sz w:val="28"/>
          <w:szCs w:val="28"/>
          <w:lang w:eastAsia="zh-CN"/>
        </w:rPr>
        <w:t>人防工程</w:t>
      </w:r>
      <w:r>
        <w:rPr>
          <w:rFonts w:hint="eastAsia" w:ascii="仿宋_GB2312" w:hAnsi="仿宋_GB2312" w:eastAsia="仿宋_GB2312" w:cs="仿宋_GB2312"/>
          <w:kern w:val="0"/>
          <w:sz w:val="28"/>
          <w:szCs w:val="28"/>
        </w:rPr>
        <w:t>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2.85万元。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1</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20</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20</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12</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784BFE"/>
    <w:rsid w:val="039369CC"/>
    <w:rsid w:val="04C12B4C"/>
    <w:rsid w:val="04CD3D0D"/>
    <w:rsid w:val="04EF3DB4"/>
    <w:rsid w:val="051004D3"/>
    <w:rsid w:val="05272FAA"/>
    <w:rsid w:val="05787881"/>
    <w:rsid w:val="05B15802"/>
    <w:rsid w:val="05C0312F"/>
    <w:rsid w:val="05E76332"/>
    <w:rsid w:val="063E3843"/>
    <w:rsid w:val="067009E3"/>
    <w:rsid w:val="0679188B"/>
    <w:rsid w:val="06B24841"/>
    <w:rsid w:val="06BB5646"/>
    <w:rsid w:val="06D51854"/>
    <w:rsid w:val="06E224E4"/>
    <w:rsid w:val="070058ED"/>
    <w:rsid w:val="072842ED"/>
    <w:rsid w:val="07976D19"/>
    <w:rsid w:val="07A2195D"/>
    <w:rsid w:val="07A73824"/>
    <w:rsid w:val="07CC07D2"/>
    <w:rsid w:val="07DA3CFE"/>
    <w:rsid w:val="08037EE2"/>
    <w:rsid w:val="091A0CCA"/>
    <w:rsid w:val="097471DD"/>
    <w:rsid w:val="09A256F9"/>
    <w:rsid w:val="0A2658EF"/>
    <w:rsid w:val="0AEB2D57"/>
    <w:rsid w:val="0AFC45D4"/>
    <w:rsid w:val="0B404762"/>
    <w:rsid w:val="0B62067E"/>
    <w:rsid w:val="0B626DEC"/>
    <w:rsid w:val="0B855F7E"/>
    <w:rsid w:val="0B9A0FFE"/>
    <w:rsid w:val="0C206B85"/>
    <w:rsid w:val="0C32647A"/>
    <w:rsid w:val="0C3D62CB"/>
    <w:rsid w:val="0C525545"/>
    <w:rsid w:val="0D8536A8"/>
    <w:rsid w:val="0DA5454E"/>
    <w:rsid w:val="0DA75991"/>
    <w:rsid w:val="0EDD719A"/>
    <w:rsid w:val="0EED3DB3"/>
    <w:rsid w:val="0F5136C0"/>
    <w:rsid w:val="0F78360A"/>
    <w:rsid w:val="0FA34244"/>
    <w:rsid w:val="10486C99"/>
    <w:rsid w:val="10A02C4D"/>
    <w:rsid w:val="125D6101"/>
    <w:rsid w:val="12B94D24"/>
    <w:rsid w:val="12C23695"/>
    <w:rsid w:val="131953C2"/>
    <w:rsid w:val="13863FCA"/>
    <w:rsid w:val="1387289B"/>
    <w:rsid w:val="13894C62"/>
    <w:rsid w:val="138A3CBD"/>
    <w:rsid w:val="138F6B73"/>
    <w:rsid w:val="13BB045D"/>
    <w:rsid w:val="13BF20EE"/>
    <w:rsid w:val="13DD3993"/>
    <w:rsid w:val="141A7C53"/>
    <w:rsid w:val="141E3E24"/>
    <w:rsid w:val="148A50A1"/>
    <w:rsid w:val="14B61A22"/>
    <w:rsid w:val="14DD586C"/>
    <w:rsid w:val="14F204A8"/>
    <w:rsid w:val="155F42E2"/>
    <w:rsid w:val="15D0174A"/>
    <w:rsid w:val="16026B26"/>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887700"/>
    <w:rsid w:val="27B73D55"/>
    <w:rsid w:val="28627E33"/>
    <w:rsid w:val="28A616B2"/>
    <w:rsid w:val="28D16B63"/>
    <w:rsid w:val="28E921CD"/>
    <w:rsid w:val="2934394F"/>
    <w:rsid w:val="293C3219"/>
    <w:rsid w:val="294E6E47"/>
    <w:rsid w:val="2958662D"/>
    <w:rsid w:val="296E1849"/>
    <w:rsid w:val="296E617B"/>
    <w:rsid w:val="29D03263"/>
    <w:rsid w:val="2AA75F42"/>
    <w:rsid w:val="2B650E2C"/>
    <w:rsid w:val="2BA12CCB"/>
    <w:rsid w:val="2BF253AE"/>
    <w:rsid w:val="2BF95B4F"/>
    <w:rsid w:val="2C225919"/>
    <w:rsid w:val="2C430B45"/>
    <w:rsid w:val="2C9629A2"/>
    <w:rsid w:val="2D0A78E6"/>
    <w:rsid w:val="2D247B91"/>
    <w:rsid w:val="2D3A397F"/>
    <w:rsid w:val="2DB155CE"/>
    <w:rsid w:val="2DF824AE"/>
    <w:rsid w:val="2E170254"/>
    <w:rsid w:val="2E247C4F"/>
    <w:rsid w:val="2E3C2994"/>
    <w:rsid w:val="2E9D6725"/>
    <w:rsid w:val="2F322610"/>
    <w:rsid w:val="2FBF031F"/>
    <w:rsid w:val="303C58FE"/>
    <w:rsid w:val="305B42AA"/>
    <w:rsid w:val="308D17A0"/>
    <w:rsid w:val="30B72DB4"/>
    <w:rsid w:val="30C73688"/>
    <w:rsid w:val="30D6335C"/>
    <w:rsid w:val="30F938C5"/>
    <w:rsid w:val="3152597F"/>
    <w:rsid w:val="31721C46"/>
    <w:rsid w:val="31B501BF"/>
    <w:rsid w:val="31E745BA"/>
    <w:rsid w:val="31F604A7"/>
    <w:rsid w:val="33297F74"/>
    <w:rsid w:val="3348262D"/>
    <w:rsid w:val="334912C7"/>
    <w:rsid w:val="336C1CB6"/>
    <w:rsid w:val="33AE7E7D"/>
    <w:rsid w:val="340D52DD"/>
    <w:rsid w:val="34CC6B8D"/>
    <w:rsid w:val="34CF498D"/>
    <w:rsid w:val="34F816AB"/>
    <w:rsid w:val="350D6F38"/>
    <w:rsid w:val="35247A5F"/>
    <w:rsid w:val="35365D30"/>
    <w:rsid w:val="35383D67"/>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7F06B4E"/>
    <w:rsid w:val="382A637D"/>
    <w:rsid w:val="383A2923"/>
    <w:rsid w:val="383A70C8"/>
    <w:rsid w:val="38BB2241"/>
    <w:rsid w:val="38E14EED"/>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980320"/>
    <w:rsid w:val="40F90C7F"/>
    <w:rsid w:val="411357D5"/>
    <w:rsid w:val="413540A2"/>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91C0BE3"/>
    <w:rsid w:val="496679E4"/>
    <w:rsid w:val="498B47F1"/>
    <w:rsid w:val="4A0952BB"/>
    <w:rsid w:val="4A300DBD"/>
    <w:rsid w:val="4B183B51"/>
    <w:rsid w:val="4B196F1F"/>
    <w:rsid w:val="4B1C2C75"/>
    <w:rsid w:val="4B380954"/>
    <w:rsid w:val="4B536996"/>
    <w:rsid w:val="4B9058EB"/>
    <w:rsid w:val="4BFD7E37"/>
    <w:rsid w:val="4C702BBA"/>
    <w:rsid w:val="4C805C6D"/>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2751F"/>
    <w:rsid w:val="55891293"/>
    <w:rsid w:val="55891C35"/>
    <w:rsid w:val="559F0AA9"/>
    <w:rsid w:val="55F34B7A"/>
    <w:rsid w:val="564969BE"/>
    <w:rsid w:val="56513D5F"/>
    <w:rsid w:val="56BA75E8"/>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DBE5382"/>
    <w:rsid w:val="5E104977"/>
    <w:rsid w:val="5E126555"/>
    <w:rsid w:val="5E5516EB"/>
    <w:rsid w:val="5EB24D06"/>
    <w:rsid w:val="5EC00FDE"/>
    <w:rsid w:val="5F213218"/>
    <w:rsid w:val="5FB37032"/>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7831A61"/>
    <w:rsid w:val="67AF54A4"/>
    <w:rsid w:val="688E2BC4"/>
    <w:rsid w:val="68A00632"/>
    <w:rsid w:val="68AF4662"/>
    <w:rsid w:val="68FB3B7E"/>
    <w:rsid w:val="690762AF"/>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B02BF7"/>
    <w:rsid w:val="6EBF11EF"/>
    <w:rsid w:val="6F4F1DE3"/>
    <w:rsid w:val="6F93454C"/>
    <w:rsid w:val="7067211B"/>
    <w:rsid w:val="70A51511"/>
    <w:rsid w:val="70DB4796"/>
    <w:rsid w:val="70E826BC"/>
    <w:rsid w:val="710F6F32"/>
    <w:rsid w:val="71512C49"/>
    <w:rsid w:val="71661C44"/>
    <w:rsid w:val="717E223A"/>
    <w:rsid w:val="71B1120F"/>
    <w:rsid w:val="71D64F7C"/>
    <w:rsid w:val="71E0306E"/>
    <w:rsid w:val="71F54C9C"/>
    <w:rsid w:val="7254748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AF6F2E"/>
    <w:rsid w:val="79B35130"/>
    <w:rsid w:val="79E119B9"/>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7"/>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6"/>
    <w:qFormat/>
    <w:uiPriority w:val="99"/>
    <w:pPr>
      <w:ind w:firstLine="420" w:firstLineChars="100"/>
    </w:pPr>
  </w:style>
  <w:style w:type="paragraph" w:styleId="3">
    <w:name w:val="Body Text"/>
    <w:basedOn w:val="1"/>
    <w:link w:val="15"/>
    <w:qFormat/>
    <w:uiPriority w:val="99"/>
    <w:pPr>
      <w:spacing w:after="120"/>
    </w:pPr>
  </w:style>
  <w:style w:type="paragraph" w:styleId="6">
    <w:name w:val="Body Text Indent"/>
    <w:basedOn w:val="1"/>
    <w:link w:val="18"/>
    <w:qFormat/>
    <w:uiPriority w:val="99"/>
    <w:pPr>
      <w:ind w:left="-105" w:firstLine="232" w:firstLineChars="232"/>
    </w:pPr>
    <w:rPr>
      <w:rFonts w:eastAsia="仿宋_GB2312"/>
      <w:sz w:val="32"/>
      <w:szCs w:val="32"/>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8">
    <w:name w:val="Balloon Text"/>
    <w:basedOn w:val="1"/>
    <w:link w:val="19"/>
    <w:semiHidden/>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auto"/>
      <w:u w:val="single"/>
    </w:rPr>
  </w:style>
  <w:style w:type="character" w:customStyle="1" w:styleId="15">
    <w:name w:val="正文文本 字符"/>
    <w:link w:val="3"/>
    <w:semiHidden/>
    <w:qFormat/>
    <w:uiPriority w:val="99"/>
    <w:rPr>
      <w:rFonts w:cs="Calibri"/>
      <w:szCs w:val="21"/>
    </w:rPr>
  </w:style>
  <w:style w:type="character" w:customStyle="1" w:styleId="16">
    <w:name w:val="正文文本首行缩进 字符"/>
    <w:link w:val="2"/>
    <w:semiHidden/>
    <w:qFormat/>
    <w:uiPriority w:val="99"/>
    <w:rPr>
      <w:rFonts w:cs="Calibri"/>
      <w:szCs w:val="21"/>
    </w:rPr>
  </w:style>
  <w:style w:type="character" w:customStyle="1" w:styleId="17">
    <w:name w:val="标题 1 字符"/>
    <w:link w:val="4"/>
    <w:qFormat/>
    <w:uiPriority w:val="9"/>
    <w:rPr>
      <w:rFonts w:cs="Calibri"/>
      <w:b/>
      <w:bCs/>
      <w:kern w:val="44"/>
      <w:sz w:val="44"/>
      <w:szCs w:val="44"/>
    </w:rPr>
  </w:style>
  <w:style w:type="character" w:customStyle="1" w:styleId="18">
    <w:name w:val="正文文本缩进 字符"/>
    <w:link w:val="6"/>
    <w:semiHidden/>
    <w:qFormat/>
    <w:uiPriority w:val="99"/>
    <w:rPr>
      <w:rFonts w:cs="Calibri"/>
      <w:szCs w:val="21"/>
    </w:rPr>
  </w:style>
  <w:style w:type="character" w:customStyle="1" w:styleId="19">
    <w:name w:val="批注框文本 字符"/>
    <w:link w:val="8"/>
    <w:qFormat/>
    <w:locked/>
    <w:uiPriority w:val="99"/>
    <w:rPr>
      <w:rFonts w:ascii="Calibri" w:hAnsi="Calibri" w:cs="Calibri"/>
      <w:kern w:val="2"/>
      <w:sz w:val="18"/>
      <w:szCs w:val="18"/>
    </w:rPr>
  </w:style>
  <w:style w:type="character" w:customStyle="1" w:styleId="20">
    <w:name w:val="页脚 字符"/>
    <w:link w:val="9"/>
    <w:qFormat/>
    <w:locked/>
    <w:uiPriority w:val="99"/>
    <w:rPr>
      <w:rFonts w:ascii="Calibri" w:hAnsi="Calibri" w:cs="Calibri"/>
      <w:kern w:val="2"/>
      <w:sz w:val="18"/>
      <w:szCs w:val="18"/>
    </w:rPr>
  </w:style>
  <w:style w:type="character" w:customStyle="1" w:styleId="21">
    <w:name w:val="页眉 字符"/>
    <w:link w:val="10"/>
    <w:qFormat/>
    <w:locked/>
    <w:uiPriority w:val="99"/>
    <w:rPr>
      <w:rFonts w:ascii="Calibri" w:hAnsi="Calibri" w:cs="Calibri"/>
      <w:kern w:val="2"/>
      <w:sz w:val="18"/>
      <w:szCs w:val="18"/>
    </w:rPr>
  </w:style>
  <w:style w:type="paragraph" w:customStyle="1" w:styleId="2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3">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4">
    <w:name w:val="font91"/>
    <w:qFormat/>
    <w:uiPriority w:val="99"/>
    <w:rPr>
      <w:rFonts w:ascii="Times New Roman" w:hAnsi="Times New Roman" w:cs="Times New Roman"/>
      <w:color w:val="000000"/>
      <w:sz w:val="24"/>
      <w:szCs w:val="24"/>
      <w:u w:val="none"/>
    </w:rPr>
  </w:style>
  <w:style w:type="character" w:customStyle="1" w:styleId="25">
    <w:name w:val="font101"/>
    <w:qFormat/>
    <w:uiPriority w:val="99"/>
    <w:rPr>
      <w:rFonts w:ascii="宋体" w:hAnsi="宋体" w:eastAsia="宋体" w:cs="宋体"/>
      <w:color w:val="000000"/>
      <w:sz w:val="24"/>
      <w:szCs w:val="24"/>
      <w:u w:val="none"/>
    </w:rPr>
  </w:style>
  <w:style w:type="character" w:customStyle="1" w:styleId="26">
    <w:name w:val="font31"/>
    <w:basedOn w:val="13"/>
    <w:qFormat/>
    <w:uiPriority w:val="0"/>
    <w:rPr>
      <w:rFonts w:hint="default" w:ascii="Times New Roman" w:hAnsi="Times New Roman" w:cs="Times New Roman"/>
      <w:color w:val="000000"/>
      <w:sz w:val="22"/>
      <w:szCs w:val="22"/>
      <w:u w:val="none"/>
    </w:rPr>
  </w:style>
  <w:style w:type="character" w:customStyle="1" w:styleId="27">
    <w:name w:val="font01"/>
    <w:basedOn w:val="13"/>
    <w:qFormat/>
    <w:uiPriority w:val="0"/>
    <w:rPr>
      <w:rFonts w:hint="eastAsia" w:ascii="宋体" w:hAnsi="宋体" w:eastAsia="宋体" w:cs="宋体"/>
      <w:color w:val="000000"/>
      <w:sz w:val="22"/>
      <w:szCs w:val="22"/>
      <w:u w:val="none"/>
    </w:rPr>
  </w:style>
  <w:style w:type="character" w:customStyle="1" w:styleId="28">
    <w:name w:val="font21"/>
    <w:basedOn w:val="13"/>
    <w:qFormat/>
    <w:uiPriority w:val="0"/>
    <w:rPr>
      <w:rFonts w:hint="default" w:ascii="Times New Roman" w:hAnsi="Times New Roman" w:cs="Times New Roman"/>
      <w:color w:val="000000"/>
      <w:sz w:val="22"/>
      <w:szCs w:val="22"/>
      <w:u w:val="none"/>
    </w:rPr>
  </w:style>
  <w:style w:type="character" w:customStyle="1" w:styleId="29">
    <w:name w:val="font51"/>
    <w:basedOn w:val="13"/>
    <w:qFormat/>
    <w:uiPriority w:val="0"/>
    <w:rPr>
      <w:rFonts w:hint="default" w:ascii="Times New Roman" w:hAnsi="Times New Roman" w:cs="Times New Roman"/>
      <w:color w:val="000000"/>
      <w:sz w:val="22"/>
      <w:szCs w:val="22"/>
      <w:u w:val="none"/>
    </w:rPr>
  </w:style>
  <w:style w:type="character" w:customStyle="1" w:styleId="30">
    <w:name w:val="font41"/>
    <w:basedOn w:val="13"/>
    <w:uiPriority w:val="0"/>
    <w:rPr>
      <w:rFonts w:hint="eastAsia" w:ascii="宋体" w:hAnsi="宋体" w:eastAsia="宋体" w:cs="宋体"/>
      <w:color w:val="000000"/>
      <w:sz w:val="20"/>
      <w:szCs w:val="20"/>
      <w:u w:val="none"/>
      <w:vertAlign w:val="superscript"/>
    </w:rPr>
  </w:style>
  <w:style w:type="character" w:customStyle="1" w:styleId="31">
    <w:name w:val="font11"/>
    <w:basedOn w:val="13"/>
    <w:uiPriority w:val="0"/>
    <w:rPr>
      <w:rFonts w:hint="eastAsia" w:ascii="宋体" w:hAnsi="宋体" w:eastAsia="宋体" w:cs="宋体"/>
      <w:color w:val="000000"/>
      <w:sz w:val="20"/>
      <w:szCs w:val="20"/>
      <w:u w:val="none"/>
      <w:vertAlign w:val="superscript"/>
    </w:rPr>
  </w:style>
  <w:style w:type="character" w:customStyle="1" w:styleId="32">
    <w:name w:val="font71"/>
    <w:basedOn w:val="13"/>
    <w:uiPriority w:val="0"/>
    <w:rPr>
      <w:rFonts w:ascii="新宋体" w:hAnsi="新宋体" w:eastAsia="新宋体" w:cs="新宋体"/>
      <w:color w:val="000000"/>
      <w:sz w:val="20"/>
      <w:szCs w:val="20"/>
      <w:u w:val="none"/>
    </w:rPr>
  </w:style>
  <w:style w:type="character" w:customStyle="1" w:styleId="33">
    <w:name w:val="font61"/>
    <w:basedOn w:val="13"/>
    <w:uiPriority w:val="0"/>
    <w:rPr>
      <w:rFonts w:hint="default" w:ascii="Times New Roman" w:hAnsi="Times New Roman" w:cs="Times New Roman"/>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8</TotalTime>
  <ScaleCrop>false</ScaleCrop>
  <LinksUpToDate>false</LinksUpToDate>
  <CharactersWithSpaces>11657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2020-11-26T01:24:00Z</cp:lastPrinted>
  <dcterms:modified xsi:type="dcterms:W3CDTF">2020-12-04T10:13:05Z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