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124</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zh-TW" w:eastAsia="zh-CN"/>
        </w:rPr>
        <w:t>成品分装训练系统</w:t>
      </w:r>
      <w:r>
        <w:rPr>
          <w:rFonts w:hint="eastAsia" w:ascii="楷体_GB2312" w:hAnsi="楷体_GB2312" w:eastAsia="楷体_GB2312" w:cs="楷体_GB2312"/>
          <w:b/>
          <w:bCs/>
          <w:color w:val="000000"/>
          <w:sz w:val="36"/>
          <w:szCs w:val="36"/>
          <w:u w:val="single"/>
          <w:lang w:val="en-US" w:eastAsia="zh-CN"/>
        </w:rPr>
        <w:t>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成品分装训练系统项目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w:t>
            </w:r>
          </w:p>
        </w:tc>
        <w:tc>
          <w:tcPr>
            <w:tcW w:w="2500" w:type="dxa"/>
            <w:vAlign w:val="center"/>
          </w:tcPr>
          <w:p>
            <w:pPr>
              <w:jc w:val="center"/>
              <w:rPr>
                <w:sz w:val="22"/>
                <w:szCs w:val="22"/>
              </w:rPr>
            </w:pPr>
            <w:r>
              <w:rPr>
                <w:rFonts w:hint="eastAsia"/>
              </w:rPr>
              <w:t>分拣工作单元</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2</w:t>
            </w:r>
          </w:p>
        </w:tc>
        <w:tc>
          <w:tcPr>
            <w:tcW w:w="2500" w:type="dxa"/>
            <w:vAlign w:val="center"/>
          </w:tcPr>
          <w:p>
            <w:pPr>
              <w:jc w:val="center"/>
              <w:rPr>
                <w:sz w:val="22"/>
                <w:szCs w:val="22"/>
              </w:rPr>
            </w:pPr>
            <w:r>
              <w:rPr>
                <w:rFonts w:hint="eastAsia"/>
              </w:rPr>
              <w:t>MPS小车</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3</w:t>
            </w:r>
          </w:p>
        </w:tc>
        <w:tc>
          <w:tcPr>
            <w:tcW w:w="2500" w:type="dxa"/>
            <w:vAlign w:val="center"/>
          </w:tcPr>
          <w:p>
            <w:pPr>
              <w:jc w:val="center"/>
              <w:rPr>
                <w:sz w:val="22"/>
                <w:szCs w:val="22"/>
              </w:rPr>
            </w:pPr>
            <w:r>
              <w:rPr>
                <w:rFonts w:hint="eastAsia"/>
              </w:rPr>
              <w:t>控制面板</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4</w:t>
            </w:r>
          </w:p>
        </w:tc>
        <w:tc>
          <w:tcPr>
            <w:tcW w:w="2500" w:type="dxa"/>
            <w:vAlign w:val="center"/>
          </w:tcPr>
          <w:p>
            <w:pPr>
              <w:jc w:val="center"/>
              <w:rPr>
                <w:sz w:val="22"/>
                <w:szCs w:val="22"/>
              </w:rPr>
            </w:pPr>
            <w:r>
              <w:rPr>
                <w:rFonts w:hint="eastAsia"/>
              </w:rPr>
              <w:t>PLC模块</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5</w:t>
            </w:r>
          </w:p>
        </w:tc>
        <w:tc>
          <w:tcPr>
            <w:tcW w:w="2500" w:type="dxa"/>
            <w:vAlign w:val="center"/>
          </w:tcPr>
          <w:p>
            <w:pPr>
              <w:jc w:val="center"/>
              <w:rPr>
                <w:sz w:val="22"/>
                <w:szCs w:val="22"/>
              </w:rPr>
            </w:pPr>
            <w:r>
              <w:rPr>
                <w:rFonts w:hint="eastAsia"/>
              </w:rPr>
              <w:t>数字量正交线</w:t>
            </w:r>
          </w:p>
        </w:tc>
        <w:tc>
          <w:tcPr>
            <w:tcW w:w="1167" w:type="dxa"/>
            <w:vAlign w:val="center"/>
          </w:tcPr>
          <w:p>
            <w:pPr>
              <w:jc w:val="center"/>
              <w:rPr>
                <w:sz w:val="22"/>
                <w:szCs w:val="22"/>
              </w:rPr>
            </w:pPr>
            <w:r>
              <w:rPr>
                <w:rFonts w:hint="eastAsia"/>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6</w:t>
            </w:r>
          </w:p>
        </w:tc>
        <w:tc>
          <w:tcPr>
            <w:tcW w:w="2500" w:type="dxa"/>
            <w:vAlign w:val="center"/>
          </w:tcPr>
          <w:p>
            <w:pPr>
              <w:jc w:val="center"/>
              <w:rPr>
                <w:sz w:val="22"/>
                <w:szCs w:val="22"/>
              </w:rPr>
            </w:pPr>
            <w:r>
              <w:rPr>
                <w:rFonts w:hint="eastAsia"/>
              </w:rPr>
              <w:t>模拟量正交线</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7</w:t>
            </w:r>
          </w:p>
        </w:tc>
        <w:tc>
          <w:tcPr>
            <w:tcW w:w="2500" w:type="dxa"/>
            <w:vAlign w:val="center"/>
          </w:tcPr>
          <w:p>
            <w:pPr>
              <w:jc w:val="center"/>
              <w:rPr>
                <w:sz w:val="22"/>
                <w:szCs w:val="22"/>
              </w:rPr>
            </w:pPr>
            <w:r>
              <w:rPr>
                <w:rFonts w:hint="eastAsia"/>
              </w:rPr>
              <w:t>稳压电源</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8</w:t>
            </w:r>
          </w:p>
        </w:tc>
        <w:tc>
          <w:tcPr>
            <w:tcW w:w="2500" w:type="dxa"/>
            <w:vAlign w:val="center"/>
          </w:tcPr>
          <w:p>
            <w:pPr>
              <w:jc w:val="center"/>
              <w:rPr>
                <w:rFonts w:ascii="Times New Roman" w:hAnsi="Times New Roman" w:eastAsia="宋体" w:cs="Times New Roman"/>
                <w:kern w:val="2"/>
                <w:sz w:val="22"/>
                <w:szCs w:val="22"/>
                <w:lang w:val="en-US" w:eastAsia="zh-CN" w:bidi="ar-SA"/>
              </w:rPr>
            </w:pPr>
            <w:r>
              <w:rPr>
                <w:rFonts w:hint="eastAsia"/>
              </w:rPr>
              <w:t>仿真盒</w:t>
            </w:r>
          </w:p>
        </w:tc>
        <w:tc>
          <w:tcPr>
            <w:tcW w:w="1167" w:type="dxa"/>
            <w:vAlign w:val="center"/>
          </w:tcPr>
          <w:p>
            <w:pPr>
              <w:jc w:val="center"/>
              <w:rPr>
                <w:rFonts w:ascii="Times New Roman" w:hAnsi="Times New Roman" w:eastAsia="宋体" w:cs="Times New Roman"/>
                <w:kern w:val="2"/>
                <w:sz w:val="22"/>
                <w:szCs w:val="22"/>
                <w:lang w:val="en-US" w:eastAsia="zh-CN" w:bidi="ar-SA"/>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9</w:t>
            </w:r>
          </w:p>
        </w:tc>
        <w:tc>
          <w:tcPr>
            <w:tcW w:w="2500" w:type="dxa"/>
            <w:vAlign w:val="center"/>
          </w:tcPr>
          <w:p>
            <w:pPr>
              <w:jc w:val="center"/>
              <w:rPr>
                <w:rFonts w:ascii="Times New Roman" w:hAnsi="Times New Roman" w:eastAsia="宋体" w:cs="Times New Roman"/>
                <w:kern w:val="2"/>
                <w:sz w:val="22"/>
                <w:szCs w:val="22"/>
                <w:lang w:val="en-US" w:eastAsia="zh-CN" w:bidi="ar-SA"/>
              </w:rPr>
            </w:pPr>
            <w:r>
              <w:rPr>
                <w:rFonts w:hint="eastAsia"/>
              </w:rPr>
              <w:t>数字量反交线</w:t>
            </w:r>
          </w:p>
        </w:tc>
        <w:tc>
          <w:tcPr>
            <w:tcW w:w="1167" w:type="dxa"/>
            <w:vAlign w:val="center"/>
          </w:tcPr>
          <w:p>
            <w:pPr>
              <w:jc w:val="center"/>
              <w:rPr>
                <w:rFonts w:ascii="Times New Roman" w:hAnsi="Times New Roman" w:eastAsia="宋体" w:cs="Times New Roman"/>
                <w:kern w:val="2"/>
                <w:sz w:val="22"/>
                <w:szCs w:val="22"/>
                <w:lang w:val="en-US" w:eastAsia="zh-CN" w:bidi="ar-SA"/>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10</w:t>
            </w:r>
          </w:p>
        </w:tc>
        <w:tc>
          <w:tcPr>
            <w:tcW w:w="2500" w:type="dxa"/>
            <w:vAlign w:val="center"/>
          </w:tcPr>
          <w:p>
            <w:pPr>
              <w:jc w:val="center"/>
              <w:rPr>
                <w:rFonts w:ascii="Times New Roman" w:hAnsi="Times New Roman" w:eastAsia="宋体" w:cs="Times New Roman"/>
                <w:kern w:val="2"/>
                <w:sz w:val="22"/>
                <w:szCs w:val="22"/>
                <w:lang w:val="en-US" w:eastAsia="zh-CN" w:bidi="ar-SA"/>
              </w:rPr>
            </w:pPr>
            <w:r>
              <w:rPr>
                <w:rFonts w:hint="eastAsia"/>
              </w:rPr>
              <w:t>模拟量反交线</w:t>
            </w:r>
          </w:p>
        </w:tc>
        <w:tc>
          <w:tcPr>
            <w:tcW w:w="1167" w:type="dxa"/>
            <w:vAlign w:val="center"/>
          </w:tcPr>
          <w:p>
            <w:pPr>
              <w:jc w:val="center"/>
              <w:rPr>
                <w:rFonts w:ascii="Times New Roman" w:hAnsi="Times New Roman" w:eastAsia="宋体" w:cs="Times New Roman"/>
                <w:kern w:val="2"/>
                <w:sz w:val="22"/>
                <w:szCs w:val="22"/>
                <w:lang w:val="en-US" w:eastAsia="zh-CN" w:bidi="ar-SA"/>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11</w:t>
            </w:r>
          </w:p>
        </w:tc>
        <w:tc>
          <w:tcPr>
            <w:tcW w:w="2500" w:type="dxa"/>
            <w:vAlign w:val="center"/>
          </w:tcPr>
          <w:p>
            <w:pPr>
              <w:jc w:val="center"/>
              <w:rPr>
                <w:rFonts w:ascii="Times New Roman" w:hAnsi="Times New Roman" w:eastAsia="宋体" w:cs="Times New Roman"/>
                <w:kern w:val="2"/>
                <w:sz w:val="22"/>
                <w:szCs w:val="22"/>
                <w:lang w:val="en-US" w:eastAsia="zh-CN" w:bidi="ar-SA"/>
              </w:rPr>
            </w:pPr>
            <w:r>
              <w:rPr>
                <w:rFonts w:hint="eastAsia"/>
              </w:rPr>
              <w:t>工具箱</w:t>
            </w:r>
          </w:p>
        </w:tc>
        <w:tc>
          <w:tcPr>
            <w:tcW w:w="1167" w:type="dxa"/>
            <w:vAlign w:val="center"/>
          </w:tcPr>
          <w:p>
            <w:pPr>
              <w:jc w:val="center"/>
              <w:rPr>
                <w:rFonts w:ascii="Times New Roman" w:hAnsi="Times New Roman" w:eastAsia="宋体" w:cs="Times New Roman"/>
                <w:kern w:val="2"/>
                <w:sz w:val="22"/>
                <w:szCs w:val="22"/>
                <w:lang w:val="en-US" w:eastAsia="zh-CN" w:bidi="ar-SA"/>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12</w:t>
            </w:r>
          </w:p>
        </w:tc>
        <w:tc>
          <w:tcPr>
            <w:tcW w:w="2500" w:type="dxa"/>
            <w:vAlign w:val="center"/>
          </w:tcPr>
          <w:p>
            <w:pPr>
              <w:jc w:val="center"/>
              <w:rPr>
                <w:rFonts w:ascii="Times New Roman" w:hAnsi="Times New Roman" w:eastAsia="宋体" w:cs="Times New Roman"/>
                <w:kern w:val="2"/>
                <w:sz w:val="22"/>
                <w:szCs w:val="22"/>
                <w:lang w:val="en-US" w:eastAsia="zh-CN" w:bidi="ar-SA"/>
              </w:rPr>
            </w:pPr>
            <w:r>
              <w:rPr>
                <w:rFonts w:hint="eastAsia"/>
              </w:rPr>
              <w:t>C接口</w:t>
            </w:r>
          </w:p>
        </w:tc>
        <w:tc>
          <w:tcPr>
            <w:tcW w:w="1167" w:type="dxa"/>
            <w:vAlign w:val="center"/>
          </w:tcPr>
          <w:p>
            <w:pPr>
              <w:jc w:val="center"/>
              <w:rPr>
                <w:rFonts w:ascii="Times New Roman" w:hAnsi="Times New Roman" w:eastAsia="宋体" w:cs="Times New Roman"/>
                <w:kern w:val="2"/>
                <w:sz w:val="22"/>
                <w:szCs w:val="22"/>
                <w:lang w:val="en-US" w:eastAsia="zh-CN" w:bidi="ar-SA"/>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13</w:t>
            </w:r>
          </w:p>
        </w:tc>
        <w:tc>
          <w:tcPr>
            <w:tcW w:w="2500"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微型I/O端子,垂直</w:t>
            </w:r>
          </w:p>
        </w:tc>
        <w:tc>
          <w:tcPr>
            <w:tcW w:w="1167"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rPr>
            </w:pPr>
            <w:r>
              <w:rPr>
                <w:rFonts w:hint="eastAsia"/>
              </w:rPr>
              <w:t>14</w:t>
            </w:r>
          </w:p>
        </w:tc>
        <w:tc>
          <w:tcPr>
            <w:tcW w:w="2500"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微型I/O端子,水平</w:t>
            </w:r>
          </w:p>
        </w:tc>
        <w:tc>
          <w:tcPr>
            <w:tcW w:w="1167"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rPr>
            </w:pPr>
            <w:r>
              <w:rPr>
                <w:rFonts w:hint="eastAsia"/>
              </w:rPr>
              <w:t>15</w:t>
            </w:r>
          </w:p>
        </w:tc>
        <w:tc>
          <w:tcPr>
            <w:tcW w:w="2500"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数字量单端线缆</w:t>
            </w:r>
          </w:p>
        </w:tc>
        <w:tc>
          <w:tcPr>
            <w:tcW w:w="1167"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rPr>
            </w:pPr>
            <w:r>
              <w:rPr>
                <w:rFonts w:hint="eastAsia"/>
              </w:rPr>
              <w:t>16</w:t>
            </w:r>
          </w:p>
        </w:tc>
        <w:tc>
          <w:tcPr>
            <w:tcW w:w="2500"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模拟量单端线缆</w:t>
            </w:r>
          </w:p>
        </w:tc>
        <w:tc>
          <w:tcPr>
            <w:tcW w:w="1167"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rPr>
            </w:pPr>
            <w:r>
              <w:rPr>
                <w:rFonts w:hint="eastAsia"/>
              </w:rPr>
              <w:t>17</w:t>
            </w:r>
          </w:p>
        </w:tc>
        <w:tc>
          <w:tcPr>
            <w:tcW w:w="2500"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数字量I/O端子</w:t>
            </w:r>
          </w:p>
        </w:tc>
        <w:tc>
          <w:tcPr>
            <w:tcW w:w="1167"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49" w:type="dxa"/>
            <w:vAlign w:val="center"/>
          </w:tcPr>
          <w:p>
            <w:pPr>
              <w:jc w:val="center"/>
              <w:rPr>
                <w:rFonts w:hint="eastAsia"/>
              </w:rPr>
            </w:pPr>
            <w:r>
              <w:rPr>
                <w:rFonts w:hint="eastAsia"/>
              </w:rPr>
              <w:t>18</w:t>
            </w:r>
          </w:p>
        </w:tc>
        <w:tc>
          <w:tcPr>
            <w:tcW w:w="2500"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模拟量I/O端子</w:t>
            </w:r>
          </w:p>
        </w:tc>
        <w:tc>
          <w:tcPr>
            <w:tcW w:w="1167"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成品分装训练系统需实现以下功能：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b w:val="0"/>
          <w:sz w:val="28"/>
          <w:szCs w:val="28"/>
        </w:rPr>
        <w:t>▲</w:t>
      </w:r>
      <w:r>
        <w:rPr>
          <w:rStyle w:val="17"/>
          <w:rFonts w:hint="eastAsia" w:ascii="仿宋_GB2312" w:hAnsi="仿宋_GB2312" w:eastAsia="仿宋_GB2312" w:cs="仿宋_GB2312"/>
          <w:sz w:val="28"/>
          <w:szCs w:val="28"/>
        </w:rPr>
        <w:t>1、成品分装单元能完成下列加工功能：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成品分装单元将加工工件分装在三根不同的滑槽上。当工件被放在传送带起始位置时应受到漫射传感器的检测。制动器上方的传感器检测工件的特性（黑色、红色、银色）。由双作用气缸通过偏针仪控制的分离器将工件分捡到正确的滑槽上。要求提供技术资料证明文件或实物相片。</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2、设备能够进行下列内容的教学培训：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（1）机械:工作单元的机械安装调试；（2）气动:气动元器件间的管路连接；</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（3）电气:电气元器件的正确布线；</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（4）传感器:限位开关的应用、电感式及光电式传感器的操作模式及应用；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（5）PLC编程及应用；（6）系统调试:完整加工顺序的调试。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3、基本技术参数：</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（1）工作压力≥600KPa(6bar)；（2）稳压电源24VDC；</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（3）至少8个数字量输入、4个数字量输出；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（4）铝合金板材厚度不小于32mm</w:t>
      </w:r>
      <w:r>
        <w:rPr>
          <w:rFonts w:hint="eastAsia" w:ascii="仿宋_GB2312" w:hAnsi="仿宋_GB2312" w:eastAsia="仿宋_GB2312" w:cs="仿宋_GB2312"/>
          <w:color w:val="000000"/>
          <w:sz w:val="28"/>
          <w:szCs w:val="28"/>
        </w:rPr>
        <w:t>，板材尺寸不小于（长x宽x高）700mmx350mmx32mm，板的两面都有安装槽，格栅间隔不小于50mm，槽兼容ITEM型材设备，用于安装工作单元的所有部件</w:t>
      </w:r>
      <w:r>
        <w:rPr>
          <w:rStyle w:val="17"/>
          <w:rFonts w:hint="eastAsia" w:ascii="仿宋_GB2312" w:hAnsi="仿宋_GB2312" w:eastAsia="仿宋_GB2312" w:cs="仿宋_GB2312"/>
          <w:b w:val="0"/>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4、成品分装单元包括下列主要组成部分：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（1）传送带：直流电机驱动，安装在型材板或型材支脚上的传送带。用于传送直径为40 mm 加工工件（如“气缸缸体”或“气缸组装件”）或传送工件托盘等。</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（2）电机：额定电压24V、额定电流1.5A、额定转轴速度65r.p.m、额定扭矩1Nm、可逆性、启动扭矩7Nm。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color w:val="000000"/>
          <w:sz w:val="28"/>
          <w:szCs w:val="28"/>
        </w:rPr>
      </w:pPr>
      <w:r>
        <w:rPr>
          <w:rStyle w:val="17"/>
          <w:rFonts w:hint="eastAsia" w:ascii="仿宋_GB2312" w:hAnsi="仿宋_GB2312" w:eastAsia="仿宋_GB2312" w:cs="仿宋_GB2312"/>
          <w:color w:val="000000"/>
          <w:sz w:val="28"/>
          <w:szCs w:val="28"/>
        </w:rPr>
        <w:t>▲5</w:t>
      </w:r>
      <w:r>
        <w:rPr>
          <w:rStyle w:val="17"/>
          <w:rFonts w:hint="eastAsia" w:ascii="仿宋_GB2312" w:hAnsi="仿宋_GB2312" w:eastAsia="仿宋_GB2312" w:cs="仿宋_GB2312"/>
          <w:sz w:val="28"/>
          <w:szCs w:val="28"/>
        </w:rPr>
        <w:t>、</w:t>
      </w:r>
      <w:r>
        <w:rPr>
          <w:rStyle w:val="17"/>
          <w:rFonts w:hint="eastAsia" w:ascii="仿宋_GB2312" w:hAnsi="仿宋_GB2312" w:eastAsia="仿宋_GB2312" w:cs="仿宋_GB2312"/>
          <w:color w:val="000000"/>
          <w:sz w:val="28"/>
          <w:szCs w:val="28"/>
        </w:rPr>
        <w:t xml:space="preserve">IO接线端功能：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Fonts w:hint="eastAsia" w:ascii="仿宋_GB2312" w:hAnsi="仿宋_GB2312" w:eastAsia="仿宋_GB2312" w:cs="仿宋_GB2312"/>
          <w:color w:val="000000"/>
          <w:sz w:val="28"/>
          <w:szCs w:val="28"/>
        </w:rPr>
        <w:t>智能化接口技术。系统接口的设 计满足可以将两个模块方便地通过SysLink连接在一个PLC上。如果模块配有模拟信号，可以通过15针D-Sub插口获取这些信号。</w:t>
      </w:r>
      <w:r>
        <w:rPr>
          <w:rStyle w:val="17"/>
          <w:rFonts w:hint="eastAsia" w:ascii="仿宋_GB2312" w:hAnsi="仿宋_GB2312" w:eastAsia="仿宋_GB2312" w:cs="仿宋_GB2312"/>
          <w:sz w:val="28"/>
          <w:szCs w:val="28"/>
        </w:rPr>
        <w:t>投标现场需展示接线端实物，证明其智能化接口技术与技术参数要求的符合性。</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24针IEEE插口（SysLink）；15针Sub-D插口；2x15针D-Sub-HD插口；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LED状态指示灯；尺寸（高x深）：≤68x77mm。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6、成品分装工作单元应具备的扩展控制方式和模块间互换功能：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（1）扩展控制方式：计算机通过模拟仿真软件与接口盒进行连接，并通过接口协议进行控制。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bCs/>
          <w:sz w:val="28"/>
          <w:szCs w:val="28"/>
        </w:rPr>
      </w:pPr>
      <w:r>
        <w:rPr>
          <w:rStyle w:val="17"/>
          <w:rFonts w:hint="eastAsia" w:ascii="仿宋_GB2312" w:hAnsi="仿宋_GB2312" w:eastAsia="仿宋_GB2312" w:cs="仿宋_GB2312"/>
          <w:b w:val="0"/>
          <w:sz w:val="28"/>
          <w:szCs w:val="28"/>
        </w:rPr>
        <w:t>（2）模块间互换功能：各个工作单元上的不同功能模块可以任意拆卸下来组合成新的工作单元，并能与其他工作单元配合使用，完成相应工作任务。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7、配套操作开关板：</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完整的控制面板应具备控制面板组件，通讯面板组件、备用面板组件和接口支架组成；</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面板包括各种按键：复膜按键；启动键；停止键；复位键≥2个可任意指 定的控制灯；显示方式：LED显示。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8、配套工作站底车：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使用底车需构成紧凑、可移动的机电一体化实训设备工作单元。工作单元应用部分及PLC控制板应可以方便的安装在底车上。底车前侧应可固定控制面板。底车应装有脚轮。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高度:≥750mm、宽度:≥350mm、深度:≥700mm。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9、配套稳压电源: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输入电压：220/115VAC(47–63Hz)；输出电压：24VDC，短路保护；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输出电流：最大不超过4.5A；电源线：≥1.3m</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10、配套控制模块1512</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带支撑脚机架，台式，尺寸型号，宽x高：305mmx300mm（±3%）；</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集成市场通用编程控制器：19"模块模拟板，带2xSysLink接口，用于工作单元和控制面板，各有8个数字量输入和8个数字量输出；1x Sub-D 15针接口，带4个模拟量输入和2个模拟量输出；急停跳线，用于连接安全回路以断开8个数字量输出。可以在实验台或在工作站上使用，稳定、粉末涂层、薄钢板支架系统，可以使用19"模拟模块进行扩展。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CPU：S7-1512C-1PN；内存：250KB用于程序，1MB用于数据；包括存储卡；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接口：PROFINET IRT，带2个交换机端口；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输入/输出端：</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32x数字输入端（24VDC）；32x数字输出端（24VDC/0.5A）</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5x模拟输入端，4xU/I，1xR/RTD，16位分辨率；2x模拟量输出端，2xU/I，16位分辨率</w:t>
      </w:r>
    </w:p>
    <w:p>
      <w:pPr>
        <w:pStyle w:val="3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本项目包含一套训练配件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1、1*数字量I/O端子</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shd w:val="clear" w:color="auto" w:fill="FFFFFF"/>
        </w:rPr>
        <w:t>该I/O端子是SysLink方案的核心单元。 它用于连接8个数字输入/输出端，所有端口与 SysLink接口相连。接触通过弹簧端子实现。为了方便地检查开关状态和系统化故障查询，输入和输出端子装有LED指示。 可以安装在安装导轨上。</w:t>
      </w:r>
      <w:r>
        <w:rPr>
          <w:rFonts w:hint="eastAsia" w:ascii="仿宋_GB2312" w:hAnsi="仿宋_GB2312" w:eastAsia="仿宋_GB2312" w:cs="仿宋_GB2312"/>
          <w:color w:val="000000"/>
          <w:sz w:val="28"/>
          <w:szCs w:val="28"/>
          <w:lang w:val="en-US" w:eastAsia="zh-CN"/>
        </w:rPr>
        <w:t>24V/0V端子。</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输入端：8；输出端：8；弹簧端子：0.2–1.5mm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；24针IEEE插口（SysLink）；</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状态LED指示灯；尺寸（高x深）：68x77mm。</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2、1*模拟量I/O端子</w:t>
      </w:r>
    </w:p>
    <w:p>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模拟信号通过一个带15针D-Sub插口的特殊模拟端子获取。该端子用于连接4个模拟输入端和2个模拟输出端，所有端口与共同的模拟量终端接口相连。接触通过弹簧端子实现。为了方便地检查状态和系统化故障查询，安装了输入和输出端子LED。整个模块可以安装到安装导轨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24V/0V端子；电流输入端：4；电流输出端：2；电压输入端：4；电压输出端：2；</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弹簧端子：0.2–1.5mm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；15针Sub-D插口；LED状态指示灯；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尺寸（高x深）：68x77mm。</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3、2*微型I/O端子，垂直</w:t>
      </w:r>
    </w:p>
    <w:p>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微型I/O端子是®模块的核心单元。该端子用于连接4个数字量输入/输出端，2个模拟量输入端和1个模拟量输出端；所有端口都与一个共同插口相连。接触通过弹簧端子实现。为了方便地检查开关状态和系统化故障查询，输入和输出端子装有LED指示。 整个模块可以安装到安装导轨上。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24V/0V端子；输入端：4；数字输出端：4；模拟输入端：2；模拟输出端：1；</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弹簧端子：0.2–0.5mm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；15针Sub-DHD插口；LED状态指示灯；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尺寸（高x深）：45x77mm；</w:t>
      </w:r>
      <w:r>
        <w:rPr>
          <w:rFonts w:hint="eastAsia" w:ascii="仿宋_GB2312" w:hAnsi="仿宋_GB2312" w:eastAsia="仿宋_GB2312" w:cs="仿宋_GB2312"/>
          <w:color w:val="000000"/>
          <w:sz w:val="28"/>
          <w:szCs w:val="28"/>
          <w:shd w:val="clear" w:color="auto" w:fill="FFFFFF"/>
        </w:rPr>
        <w:t>15针Sub-D插口，90°垂直于电路板安装</w:t>
      </w:r>
      <w:r>
        <w:rPr>
          <w:rFonts w:hint="eastAsia" w:ascii="仿宋_GB2312" w:hAnsi="仿宋_GB2312" w:eastAsia="仿宋_GB2312" w:cs="仿宋_GB2312"/>
          <w:color w:val="00000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4、2*微型I/O端子，水平</w:t>
      </w:r>
    </w:p>
    <w:p>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微型I/O端子是®模块的核心单元。该端子用于连接4个数字量输入/输出端，2个模拟量输入端和1个模拟量输出端；所有端口都与一个共同插口相连。接触通过弹簧端子实现。为了方便地检查开关状态和系统化故障查询，输入和输出端子装有LED指示。整个模块可以安装到安装导轨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24V/0V端子；输入端：4；数字输出端：4；模拟输入端：2；模拟输出端：1；</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弹簧端子：0.2–0.5mm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；15针Sub-DHD插口；LED状态指示灯；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尺寸（高x深）：45x77mm；</w:t>
      </w:r>
      <w:r>
        <w:rPr>
          <w:rFonts w:hint="eastAsia" w:ascii="仿宋_GB2312" w:hAnsi="仿宋_GB2312" w:eastAsia="仿宋_GB2312" w:cs="仿宋_GB2312"/>
          <w:color w:val="000000"/>
          <w:sz w:val="28"/>
          <w:szCs w:val="28"/>
          <w:shd w:val="clear" w:color="auto" w:fill="FFFFFF"/>
        </w:rPr>
        <w:t>15针Sub-D</w:t>
      </w:r>
      <w:r>
        <w:rPr>
          <w:rFonts w:hint="eastAsia" w:ascii="仿宋_GB2312" w:hAnsi="仿宋_GB2312" w:eastAsia="仿宋_GB2312" w:cs="仿宋_GB2312"/>
          <w:color w:val="000000"/>
          <w:sz w:val="28"/>
          <w:szCs w:val="28"/>
          <w:lang w:val="en-US" w:eastAsia="zh-CN"/>
        </w:rPr>
        <w:t>HD</w:t>
      </w:r>
      <w:r>
        <w:rPr>
          <w:rFonts w:hint="eastAsia" w:ascii="仿宋_GB2312" w:hAnsi="仿宋_GB2312" w:eastAsia="仿宋_GB2312" w:cs="仿宋_GB2312"/>
          <w:color w:val="000000"/>
          <w:sz w:val="28"/>
          <w:szCs w:val="28"/>
          <w:shd w:val="clear" w:color="auto" w:fill="FFFFFF"/>
        </w:rPr>
        <w:t>插口</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水平安装</w:t>
      </w:r>
      <w:r>
        <w:rPr>
          <w:rFonts w:hint="eastAsia" w:ascii="仿宋_GB2312" w:hAnsi="仿宋_GB2312" w:eastAsia="仿宋_GB2312" w:cs="仿宋_GB2312"/>
          <w:color w:val="00000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5、2*数字量单端线缆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6、2*模拟量单端线缆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7、1*C接口</w:t>
      </w:r>
    </w:p>
    <w:p>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shd w:val="clear" w:color="auto" w:fill="FFFFFF"/>
        </w:rPr>
        <w:t>系统接口的设计满足可以将两个模块方便地通过SysLink连接在一个PLC上。如果模块配有模拟信号，可以通过15针D-Sub插口获取这些信号。</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b/>
          <w:bCs/>
          <w:color w:val="000000"/>
          <w:sz w:val="28"/>
          <w:szCs w:val="28"/>
          <w:lang w:val="en-US" w:eastAsia="zh-CN"/>
        </w:rPr>
        <w:t>技术数据</w:t>
      </w:r>
      <w:r>
        <w:rPr>
          <w:rFonts w:hint="eastAsia" w:ascii="仿宋_GB2312" w:hAnsi="仿宋_GB2312" w:eastAsia="仿宋_GB2312" w:cs="仿宋_GB2312"/>
          <w:b/>
          <w:bCs/>
          <w:color w:val="000000"/>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24</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 xml:space="preserve">IEEE </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（SysLink）；15</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Sub-D</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；2x15</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D-Sub-HD</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LED</w:t>
      </w:r>
      <w:r>
        <w:rPr>
          <w:rFonts w:hint="eastAsia" w:ascii="仿宋_GB2312" w:hAnsi="仿宋_GB2312" w:eastAsia="仿宋_GB2312" w:cs="仿宋_GB2312"/>
          <w:color w:val="000000"/>
          <w:sz w:val="28"/>
          <w:szCs w:val="28"/>
          <w:lang w:val="en-US" w:eastAsia="zh-CN"/>
        </w:rPr>
        <w:t>状态指示灯</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尺寸</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高</w:t>
      </w:r>
      <w:r>
        <w:rPr>
          <w:rFonts w:hint="eastAsia" w:ascii="仿宋_GB2312" w:hAnsi="仿宋_GB2312" w:eastAsia="仿宋_GB2312" w:cs="仿宋_GB2312"/>
          <w:color w:val="000000"/>
          <w:sz w:val="28"/>
          <w:szCs w:val="28"/>
          <w:lang w:eastAsia="zh-CN"/>
        </w:rPr>
        <w:t>x</w:t>
      </w:r>
      <w:r>
        <w:rPr>
          <w:rFonts w:hint="eastAsia" w:ascii="仿宋_GB2312" w:hAnsi="仿宋_GB2312" w:eastAsia="仿宋_GB2312" w:cs="仿宋_GB2312"/>
          <w:color w:val="000000"/>
          <w:sz w:val="28"/>
          <w:szCs w:val="28"/>
          <w:lang w:val="en-US" w:eastAsia="zh-CN"/>
        </w:rPr>
        <w:t>深</w:t>
      </w:r>
      <w:r>
        <w:rPr>
          <w:rFonts w:hint="eastAsia" w:ascii="仿宋_GB2312" w:hAnsi="仿宋_GB2312" w:eastAsia="仿宋_GB2312" w:cs="仿宋_GB2312"/>
          <w:color w:val="000000"/>
          <w:sz w:val="28"/>
          <w:szCs w:val="28"/>
          <w:lang w:eastAsia="zh-CN"/>
        </w:rPr>
        <w:t>）：68x77mm。</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8、1*专用工具箱</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9、1*仿真盒及配套线缆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17.6</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50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5</w:t>
      </w:r>
      <w:bookmarkStart w:id="0" w:name="_GoBack"/>
      <w:bookmarkEnd w:id="0"/>
      <w:r>
        <w:rPr>
          <w:rFonts w:hint="eastAsia" w:ascii="仿宋_GB2312" w:hAnsi="仿宋_GB2312" w:eastAsia="仿宋_GB2312" w:cs="仿宋_GB2312"/>
          <w:b/>
          <w:bCs/>
          <w:color w:val="000000"/>
          <w:sz w:val="28"/>
          <w:szCs w:val="28"/>
          <w:u w:val="single"/>
          <w:lang w:val="en-US" w:eastAsia="zh-CN"/>
        </w:rPr>
        <w:t>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MetaPlusLF-Regular">
    <w:altName w:val="Arial"/>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9B3163"/>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8543F8"/>
    <w:rsid w:val="27B73D55"/>
    <w:rsid w:val="28073AD2"/>
    <w:rsid w:val="28245297"/>
    <w:rsid w:val="289F324F"/>
    <w:rsid w:val="28B80A13"/>
    <w:rsid w:val="28BA3435"/>
    <w:rsid w:val="28C67687"/>
    <w:rsid w:val="28DF42A5"/>
    <w:rsid w:val="29237E44"/>
    <w:rsid w:val="296E1849"/>
    <w:rsid w:val="29720D27"/>
    <w:rsid w:val="29EA1F8F"/>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B527B7"/>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9E3EB8"/>
    <w:rsid w:val="52AC24D9"/>
    <w:rsid w:val="538A5890"/>
    <w:rsid w:val="53B27B60"/>
    <w:rsid w:val="53B75D03"/>
    <w:rsid w:val="53B77680"/>
    <w:rsid w:val="53E36CF0"/>
    <w:rsid w:val="542506A6"/>
    <w:rsid w:val="54797ED7"/>
    <w:rsid w:val="548B19E0"/>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BC6B6B"/>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EB2816"/>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8A7CC8"/>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AD7131"/>
    <w:rsid w:val="70C16F7A"/>
    <w:rsid w:val="710F6F32"/>
    <w:rsid w:val="71512C49"/>
    <w:rsid w:val="715E2F53"/>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8242BA"/>
    <w:rsid w:val="769876C2"/>
    <w:rsid w:val="76C667A4"/>
    <w:rsid w:val="77090A3A"/>
    <w:rsid w:val="77365109"/>
    <w:rsid w:val="773C77FD"/>
    <w:rsid w:val="775D76DD"/>
    <w:rsid w:val="777827AE"/>
    <w:rsid w:val="777D7660"/>
    <w:rsid w:val="77801522"/>
    <w:rsid w:val="778B2E11"/>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B7442C"/>
    <w:rsid w:val="7ED3094B"/>
    <w:rsid w:val="7ED52362"/>
    <w:rsid w:val="7EDE70F9"/>
    <w:rsid w:val="7EE215A1"/>
    <w:rsid w:val="7F044388"/>
    <w:rsid w:val="7F060D0E"/>
    <w:rsid w:val="7F1E1B03"/>
    <w:rsid w:val="7F323951"/>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 w:type="paragraph" w:styleId="30">
    <w:name w:val="List Paragraph"/>
    <w:basedOn w:val="1"/>
    <w:qFormat/>
    <w:uiPriority w:val="34"/>
    <w:pPr>
      <w:ind w:firstLine="420" w:firstLineChars="200"/>
    </w:pPr>
    <w:rPr>
      <w:rFonts w:ascii="MetaPlusLF-Regular" w:hAnsi="MetaPlusLF-Regula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2020-11-30T06:23:00Z</cp:lastPrinted>
  <dcterms:modified xsi:type="dcterms:W3CDTF">2020-12-07T08:32:19Z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