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firstLine="0" w:firstLineChars="0"/>
      </w:pPr>
    </w:p>
    <w:p>
      <w:pPr>
        <w:jc w:val="center"/>
        <w:rPr>
          <w:b/>
          <w:sz w:val="84"/>
        </w:rPr>
      </w:pPr>
    </w:p>
    <w:p>
      <w:pPr>
        <w:jc w:val="center"/>
        <w:rPr>
          <w:b/>
          <w:sz w:val="84"/>
        </w:rPr>
      </w:pPr>
      <w:r>
        <w:rPr>
          <w:rFonts w:hint="eastAsia"/>
          <w:b/>
          <w:sz w:val="84"/>
        </w:rPr>
        <w:t>单一来源采购文件</w:t>
      </w:r>
    </w:p>
    <w:p>
      <w:pPr>
        <w:rPr>
          <w:rFonts w:eastAsia="黑体"/>
          <w:b/>
          <w:sz w:val="32"/>
        </w:rPr>
      </w:pPr>
    </w:p>
    <w:p>
      <w:pPr>
        <w:rPr>
          <w:rFonts w:eastAsia="黑体"/>
          <w:b/>
          <w:sz w:val="32"/>
        </w:rPr>
      </w:pPr>
    </w:p>
    <w:p>
      <w:pPr>
        <w:jc w:val="center"/>
        <w:rPr>
          <w:rFonts w:eastAsia="黑体"/>
          <w:b/>
          <w:sz w:val="32"/>
        </w:rPr>
      </w:pPr>
    </w:p>
    <w:p>
      <w:pPr>
        <w:pStyle w:val="44"/>
        <w:ind w:firstLine="600"/>
      </w:pPr>
    </w:p>
    <w:p>
      <w:pPr>
        <w:ind w:firstLine="2168" w:firstLineChars="600"/>
        <w:rPr>
          <w:rFonts w:ascii="宋体" w:hAnsi="宋体" w:cs="宋体"/>
          <w:b/>
          <w:sz w:val="36"/>
        </w:rPr>
      </w:pPr>
      <w:r>
        <w:rPr>
          <w:rFonts w:hint="eastAsia" w:ascii="宋体" w:hAnsi="宋体" w:cs="宋体"/>
          <w:b/>
          <w:sz w:val="36"/>
        </w:rPr>
        <w:t>项目编号：YCJSD2101-001</w:t>
      </w:r>
    </w:p>
    <w:p>
      <w:pPr>
        <w:pStyle w:val="44"/>
        <w:ind w:firstLine="0" w:firstLineChars="0"/>
      </w:pP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r>
        <w:rPr>
          <w:rFonts w:hint="eastAsia" w:ascii="宋体" w:hAnsi="宋体" w:cs="宋体"/>
          <w:b/>
          <w:sz w:val="36"/>
          <w:szCs w:val="36"/>
        </w:rPr>
        <w:t>项目名称：江苏省盐城技师学院中华人民共和国第一届</w:t>
      </w:r>
    </w:p>
    <w:p>
      <w:pPr>
        <w:widowControl/>
        <w:spacing w:before="145" w:beforeLines="50" w:after="145" w:afterLines="50" w:line="440" w:lineRule="exact"/>
        <w:jc w:val="center"/>
        <w:rPr>
          <w:rFonts w:ascii="宋体" w:hAnsi="宋体" w:cs="宋体"/>
          <w:b/>
          <w:sz w:val="36"/>
          <w:szCs w:val="36"/>
        </w:rPr>
      </w:pPr>
      <w:r>
        <w:rPr>
          <w:rFonts w:hint="eastAsia" w:ascii="宋体" w:hAnsi="宋体" w:cs="宋体"/>
          <w:b/>
          <w:sz w:val="36"/>
          <w:szCs w:val="36"/>
        </w:rPr>
        <w:t>职业技能大赛增材制造项目设备</w:t>
      </w: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p>
    <w:p>
      <w:pPr>
        <w:pStyle w:val="44"/>
        <w:ind w:firstLine="600"/>
        <w:rPr>
          <w:rFonts w:ascii="宋体" w:hAnsi="宋体" w:eastAsia="宋体" w:cs="宋体"/>
        </w:rPr>
      </w:pPr>
    </w:p>
    <w:p>
      <w:pPr>
        <w:pStyle w:val="44"/>
        <w:ind w:firstLine="600"/>
        <w:rPr>
          <w:rFonts w:ascii="宋体" w:hAnsi="宋体" w:eastAsia="宋体" w:cs="宋体"/>
        </w:rPr>
      </w:pPr>
    </w:p>
    <w:p>
      <w:pPr>
        <w:pStyle w:val="44"/>
        <w:ind w:firstLine="0" w:firstLineChars="0"/>
        <w:rPr>
          <w:rFonts w:ascii="宋体" w:hAnsi="宋体" w:eastAsia="宋体" w:cs="宋体"/>
        </w:rPr>
      </w:pPr>
    </w:p>
    <w:p>
      <w:pPr>
        <w:jc w:val="center"/>
        <w:rPr>
          <w:rFonts w:ascii="黑体" w:eastAsia="黑体"/>
          <w:bCs/>
          <w:sz w:val="36"/>
          <w:szCs w:val="36"/>
        </w:rPr>
      </w:pPr>
      <w:r>
        <w:rPr>
          <w:rFonts w:hint="eastAsia" w:ascii="黑体" w:eastAsia="黑体"/>
          <w:bCs/>
          <w:sz w:val="36"/>
          <w:szCs w:val="36"/>
        </w:rPr>
        <w:t>江苏省盐城技师学院</w:t>
      </w:r>
    </w:p>
    <w:p>
      <w:pPr>
        <w:jc w:val="center"/>
        <w:rPr>
          <w:rFonts w:ascii="黑体" w:eastAsia="黑体"/>
          <w:sz w:val="36"/>
          <w:szCs w:val="36"/>
        </w:rPr>
      </w:pPr>
      <w:r>
        <w:rPr>
          <w:rFonts w:hint="eastAsia" w:ascii="黑体" w:eastAsia="黑体"/>
          <w:sz w:val="36"/>
          <w:szCs w:val="36"/>
        </w:rPr>
        <w:t>2021</w:t>
      </w:r>
      <w:r>
        <w:rPr>
          <w:rFonts w:ascii="黑体" w:eastAsia="黑体"/>
          <w:sz w:val="36"/>
          <w:szCs w:val="36"/>
        </w:rPr>
        <w:t>年</w:t>
      </w:r>
      <w:r>
        <w:rPr>
          <w:rFonts w:hint="eastAsia" w:ascii="黑体" w:eastAsia="黑体"/>
          <w:sz w:val="36"/>
          <w:szCs w:val="36"/>
        </w:rPr>
        <w:t>5</w:t>
      </w:r>
      <w:r>
        <w:rPr>
          <w:rFonts w:ascii="黑体" w:eastAsia="黑体"/>
          <w:sz w:val="36"/>
          <w:szCs w:val="36"/>
        </w:rPr>
        <w:t>月</w:t>
      </w:r>
      <w:r>
        <w:rPr>
          <w:rFonts w:hint="eastAsia" w:ascii="黑体" w:eastAsia="黑体"/>
          <w:sz w:val="36"/>
          <w:szCs w:val="36"/>
          <w:lang w:val="en-US" w:eastAsia="zh-CN"/>
        </w:rPr>
        <w:t>10</w:t>
      </w:r>
      <w:r>
        <w:rPr>
          <w:rFonts w:ascii="黑体" w:eastAsia="黑体"/>
          <w:sz w:val="36"/>
          <w:szCs w:val="36"/>
        </w:rPr>
        <w:t>日</w:t>
      </w:r>
    </w:p>
    <w:p>
      <w:pPr>
        <w:spacing w:line="360" w:lineRule="auto"/>
        <w:jc w:val="center"/>
        <w:outlineLvl w:val="0"/>
      </w:pPr>
      <w:r>
        <w:br w:type="page"/>
      </w:r>
      <w:bookmarkStart w:id="0" w:name="_Toc120614210"/>
      <w:bookmarkStart w:id="1" w:name="_Toc523127445"/>
      <w:bookmarkStart w:id="2" w:name="_Toc20823272"/>
      <w:bookmarkStart w:id="3" w:name="_Toc16938516"/>
      <w:bookmarkStart w:id="4" w:name="_Toc479757206"/>
      <w:bookmarkStart w:id="5" w:name="_Toc513029200"/>
    </w:p>
    <w:p>
      <w:pPr>
        <w:spacing w:line="360" w:lineRule="auto"/>
        <w:jc w:val="center"/>
        <w:outlineLvl w:val="0"/>
      </w:pPr>
    </w:p>
    <w:p>
      <w:pPr>
        <w:spacing w:line="360" w:lineRule="auto"/>
        <w:jc w:val="center"/>
        <w:outlineLvl w:val="0"/>
        <w:rPr>
          <w:rFonts w:ascii="黑体" w:hAnsi="Arial" w:eastAsia="黑体"/>
          <w:b/>
          <w:sz w:val="44"/>
        </w:rPr>
      </w:pPr>
      <w:r>
        <w:rPr>
          <w:rFonts w:hint="eastAsia" w:ascii="黑体" w:hAnsi="Arial" w:eastAsia="黑体"/>
          <w:b/>
          <w:sz w:val="44"/>
        </w:rPr>
        <w:t>总  目  录</w:t>
      </w:r>
    </w:p>
    <w:p>
      <w:pPr>
        <w:spacing w:line="360" w:lineRule="auto"/>
        <w:rPr>
          <w:rFonts w:ascii="仿宋_GB2312" w:hAnsi="Arial" w:eastAsia="仿宋_GB2312"/>
          <w:b/>
          <w:sz w:val="28"/>
        </w:rPr>
      </w:pPr>
    </w:p>
    <w:p>
      <w:pPr>
        <w:spacing w:line="360" w:lineRule="auto"/>
        <w:jc w:val="left"/>
        <w:outlineLvl w:val="0"/>
        <w:rPr>
          <w:rFonts w:ascii="黑体" w:hAnsi="黑体" w:eastAsia="黑体"/>
          <w:sz w:val="36"/>
          <w:szCs w:val="36"/>
        </w:rPr>
      </w:pPr>
      <w:r>
        <w:rPr>
          <w:rFonts w:hint="eastAsia" w:ascii="黑体" w:hAnsi="黑体" w:eastAsia="黑体"/>
          <w:sz w:val="36"/>
          <w:szCs w:val="36"/>
        </w:rPr>
        <w:t>第一部分  单一来源采购邀请函</w:t>
      </w:r>
      <w:r>
        <w:rPr>
          <w:rFonts w:ascii="黑体" w:hAnsi="黑体" w:eastAsia="黑体"/>
          <w:sz w:val="36"/>
          <w:szCs w:val="36"/>
        </w:rPr>
        <w:t>……………………</w:t>
      </w:r>
      <w:r>
        <w:rPr>
          <w:rFonts w:hint="eastAsia" w:ascii="黑体" w:hAnsi="黑体" w:eastAsia="黑体"/>
          <w:sz w:val="36"/>
          <w:szCs w:val="36"/>
        </w:rPr>
        <w:t>2</w:t>
      </w:r>
    </w:p>
    <w:p>
      <w:pPr>
        <w:spacing w:line="360" w:lineRule="auto"/>
        <w:jc w:val="left"/>
        <w:outlineLvl w:val="0"/>
        <w:rPr>
          <w:rFonts w:ascii="黑体" w:hAnsi="黑体" w:eastAsia="黑体"/>
          <w:sz w:val="36"/>
          <w:szCs w:val="36"/>
        </w:rPr>
      </w:pPr>
      <w:r>
        <w:rPr>
          <w:rFonts w:hint="eastAsia" w:ascii="黑体" w:hAnsi="黑体" w:eastAsia="黑体"/>
          <w:sz w:val="36"/>
          <w:szCs w:val="36"/>
        </w:rPr>
        <w:t>第二部分  单一来源采购供应商须知</w:t>
      </w:r>
      <w:r>
        <w:rPr>
          <w:rFonts w:ascii="黑体" w:hAnsi="黑体" w:eastAsia="黑体"/>
          <w:sz w:val="36"/>
          <w:szCs w:val="36"/>
        </w:rPr>
        <w:t>………………</w:t>
      </w:r>
      <w:r>
        <w:rPr>
          <w:rFonts w:hint="eastAsia" w:ascii="黑体" w:hAnsi="黑体" w:eastAsia="黑体"/>
          <w:sz w:val="36"/>
          <w:szCs w:val="36"/>
        </w:rPr>
        <w:t>5</w:t>
      </w:r>
    </w:p>
    <w:p>
      <w:pPr>
        <w:spacing w:line="360" w:lineRule="auto"/>
        <w:jc w:val="left"/>
        <w:outlineLvl w:val="0"/>
        <w:rPr>
          <w:rFonts w:ascii="黑体" w:hAnsi="黑体" w:eastAsia="黑体"/>
          <w:sz w:val="36"/>
          <w:szCs w:val="36"/>
        </w:rPr>
      </w:pPr>
      <w:r>
        <w:rPr>
          <w:rFonts w:hint="eastAsia" w:ascii="黑体" w:hAnsi="黑体" w:eastAsia="黑体"/>
          <w:sz w:val="36"/>
          <w:szCs w:val="36"/>
        </w:rPr>
        <w:t>第三部分  项目需求</w:t>
      </w:r>
      <w:r>
        <w:rPr>
          <w:rFonts w:ascii="黑体" w:hAnsi="黑体" w:eastAsia="黑体"/>
          <w:sz w:val="36"/>
          <w:szCs w:val="36"/>
        </w:rPr>
        <w:t>…………………………………</w:t>
      </w:r>
      <w:r>
        <w:rPr>
          <w:rFonts w:hint="eastAsia" w:ascii="黑体" w:hAnsi="黑体" w:eastAsia="黑体"/>
          <w:sz w:val="36"/>
          <w:szCs w:val="36"/>
        </w:rPr>
        <w:t>7</w:t>
      </w:r>
    </w:p>
    <w:p>
      <w:pPr>
        <w:spacing w:line="360" w:lineRule="auto"/>
        <w:jc w:val="left"/>
        <w:outlineLvl w:val="0"/>
        <w:rPr>
          <w:rFonts w:ascii="黑体" w:hAnsi="黑体" w:eastAsia="黑体"/>
          <w:sz w:val="36"/>
          <w:szCs w:val="36"/>
        </w:rPr>
      </w:pPr>
      <w:r>
        <w:rPr>
          <w:rFonts w:hint="eastAsia" w:ascii="黑体" w:hAnsi="黑体" w:eastAsia="黑体"/>
          <w:sz w:val="36"/>
          <w:szCs w:val="36"/>
        </w:rPr>
        <w:t>第四部分  合同条款及格式</w:t>
      </w:r>
      <w:r>
        <w:rPr>
          <w:rFonts w:ascii="黑体" w:hAnsi="黑体" w:eastAsia="黑体"/>
          <w:sz w:val="36"/>
          <w:szCs w:val="36"/>
        </w:rPr>
        <w:t>…………………………</w:t>
      </w:r>
      <w:r>
        <w:rPr>
          <w:rFonts w:hint="eastAsia" w:ascii="黑体" w:hAnsi="黑体" w:eastAsia="黑体"/>
          <w:sz w:val="36"/>
          <w:szCs w:val="36"/>
        </w:rPr>
        <w:t>12</w:t>
      </w:r>
    </w:p>
    <w:p>
      <w:pPr>
        <w:spacing w:line="360" w:lineRule="auto"/>
        <w:jc w:val="left"/>
        <w:outlineLvl w:val="0"/>
        <w:rPr>
          <w:rFonts w:ascii="黑体" w:hAnsi="黑体" w:eastAsia="黑体"/>
          <w:sz w:val="36"/>
          <w:szCs w:val="36"/>
        </w:rPr>
      </w:pPr>
      <w:r>
        <w:rPr>
          <w:rFonts w:hint="eastAsia" w:ascii="黑体" w:hAnsi="黑体" w:eastAsia="黑体"/>
          <w:sz w:val="36"/>
          <w:szCs w:val="36"/>
        </w:rPr>
        <w:t>第五部分  响应性文件格式</w:t>
      </w:r>
      <w:r>
        <w:rPr>
          <w:rFonts w:ascii="黑体" w:hAnsi="黑体" w:eastAsia="黑体"/>
          <w:sz w:val="36"/>
          <w:szCs w:val="36"/>
        </w:rPr>
        <w:t>…………………………</w:t>
      </w:r>
      <w:r>
        <w:rPr>
          <w:rFonts w:hint="eastAsia" w:ascii="黑体" w:hAnsi="黑体" w:eastAsia="黑体"/>
          <w:sz w:val="36"/>
          <w:szCs w:val="36"/>
        </w:rPr>
        <w:t>16</w:t>
      </w:r>
    </w:p>
    <w:p>
      <w:pPr>
        <w:pStyle w:val="3"/>
        <w:rPr>
          <w:rFonts w:ascii="黑体" w:eastAsia="黑体"/>
          <w:bCs/>
          <w:sz w:val="44"/>
        </w:rPr>
      </w:pPr>
    </w:p>
    <w:p>
      <w:pPr>
        <w:pStyle w:val="3"/>
        <w:rPr>
          <w:rFonts w:ascii="黑体" w:eastAsia="黑体"/>
          <w:bCs/>
          <w:sz w:val="44"/>
        </w:rPr>
      </w:pPr>
    </w:p>
    <w:p/>
    <w:p/>
    <w:p/>
    <w:p/>
    <w:p/>
    <w:p/>
    <w:p/>
    <w:p/>
    <w:p/>
    <w:p>
      <w:pPr>
        <w:rPr>
          <w:vertAlign w:val="subscript"/>
        </w:rPr>
      </w:pPr>
    </w:p>
    <w:p/>
    <w:p/>
    <w:p/>
    <w:p/>
    <w:p/>
    <w:p/>
    <w:p/>
    <w:p/>
    <w:p/>
    <w:p/>
    <w:p/>
    <w:p/>
    <w:p>
      <w:pPr>
        <w:pStyle w:val="3"/>
        <w:jc w:val="both"/>
        <w:rPr>
          <w:rFonts w:ascii="Times New Roman" w:eastAsia="宋体"/>
          <w:sz w:val="21"/>
          <w:szCs w:val="21"/>
        </w:rPr>
      </w:pPr>
    </w:p>
    <w:p/>
    <w:p/>
    <w:p>
      <w:pPr>
        <w:pStyle w:val="3"/>
        <w:spacing w:line="360" w:lineRule="auto"/>
        <w:rPr>
          <w:rFonts w:ascii="宋体" w:hAnsi="宋体"/>
        </w:rPr>
      </w:pPr>
      <w:r>
        <w:rPr>
          <w:rFonts w:ascii="黑体" w:eastAsia="黑体"/>
          <w:sz w:val="44"/>
          <w:szCs w:val="44"/>
        </w:rPr>
        <w:br w:type="page"/>
      </w:r>
      <w:r>
        <w:rPr>
          <w:rFonts w:hint="eastAsia" w:ascii="黑体" w:eastAsia="黑体"/>
          <w:sz w:val="44"/>
          <w:szCs w:val="44"/>
        </w:rPr>
        <w:t xml:space="preserve">第一部分  </w:t>
      </w:r>
      <w:bookmarkEnd w:id="0"/>
      <w:r>
        <w:rPr>
          <w:rFonts w:hint="eastAsia" w:ascii="黑体" w:eastAsia="黑体"/>
          <w:sz w:val="44"/>
          <w:szCs w:val="44"/>
        </w:rPr>
        <w:t>单一来源采购邀请函</w:t>
      </w:r>
      <w:bookmarkStart w:id="6" w:name="_Toc28359012"/>
      <w:bookmarkStart w:id="7" w:name="_Toc28359089"/>
      <w:bookmarkStart w:id="8" w:name="_Toc35393798"/>
      <w:bookmarkStart w:id="9" w:name="_Toc35393629"/>
    </w:p>
    <w:p>
      <w:pPr>
        <w:spacing w:line="360" w:lineRule="auto"/>
        <w:rPr>
          <w:rFonts w:ascii="宋体" w:hAnsi="宋体" w:cs="宋体"/>
          <w:sz w:val="24"/>
          <w:szCs w:val="24"/>
        </w:rPr>
      </w:pPr>
      <w:r>
        <w:rPr>
          <w:rFonts w:hint="eastAsia" w:ascii="宋体" w:hAnsi="宋体" w:cs="宋体"/>
          <w:sz w:val="24"/>
          <w:szCs w:val="24"/>
        </w:rPr>
        <w:t>南京富莱宁信息科技有限公司：</w:t>
      </w:r>
    </w:p>
    <w:p>
      <w:pPr>
        <w:spacing w:line="360" w:lineRule="auto"/>
        <w:ind w:firstLine="480" w:firstLineChars="200"/>
        <w:rPr>
          <w:rFonts w:ascii="宋体" w:hAnsi="宋体" w:cs="宋体"/>
          <w:b/>
          <w:bCs/>
          <w:sz w:val="24"/>
          <w:szCs w:val="24"/>
        </w:rPr>
      </w:pPr>
      <w:r>
        <w:rPr>
          <w:rFonts w:hint="eastAsia" w:ascii="宋体" w:hAnsi="宋体" w:cs="宋体"/>
          <w:sz w:val="24"/>
          <w:szCs w:val="24"/>
        </w:rPr>
        <w:t>江苏省盐城技师学院现就其所需要采购的增材制造项目集训平台在国内组织单一来源协商采购。</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一、项目基本情况</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1.项目编号：YCJSD2101-001</w:t>
      </w:r>
    </w:p>
    <w:p>
      <w:pPr>
        <w:spacing w:line="360" w:lineRule="auto"/>
        <w:ind w:firstLine="480" w:firstLineChars="200"/>
        <w:rPr>
          <w:rFonts w:ascii="宋体" w:hAnsi="宋体" w:cs="宋体"/>
          <w:sz w:val="24"/>
          <w:szCs w:val="24"/>
        </w:rPr>
      </w:pPr>
      <w:r>
        <w:rPr>
          <w:rFonts w:hint="eastAsia" w:ascii="宋体" w:hAnsi="宋体" w:cs="宋体"/>
          <w:sz w:val="24"/>
          <w:szCs w:val="24"/>
        </w:rPr>
        <w:t>2.项目名称：江苏省盐城技师学院中华人民共和国第一届职业技能大赛增材制造项目设备</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3.采购方式：☑单一来源  □竞争性谈判  □竞争性磋商 </w:t>
      </w:r>
    </w:p>
    <w:p>
      <w:pPr>
        <w:spacing w:line="360" w:lineRule="auto"/>
        <w:ind w:firstLine="480" w:firstLineChars="200"/>
        <w:rPr>
          <w:rFonts w:ascii="宋体" w:hAnsi="宋体"/>
          <w:sz w:val="24"/>
          <w:szCs w:val="24"/>
        </w:rPr>
      </w:pPr>
      <w:r>
        <w:rPr>
          <w:rFonts w:hint="eastAsia" w:ascii="宋体" w:hAnsi="宋体" w:cs="宋体"/>
          <w:sz w:val="24"/>
          <w:szCs w:val="24"/>
        </w:rPr>
        <w:t>4.预算金额：</w:t>
      </w:r>
      <w:r>
        <w:rPr>
          <w:rFonts w:hint="eastAsia" w:ascii="宋体" w:hAnsi="宋体"/>
          <w:sz w:val="24"/>
        </w:rPr>
        <w:t>336万元。</w:t>
      </w:r>
    </w:p>
    <w:p>
      <w:pPr>
        <w:spacing w:line="360" w:lineRule="auto"/>
        <w:ind w:firstLine="480" w:firstLineChars="200"/>
        <w:rPr>
          <w:rFonts w:ascii="宋体" w:hAnsi="宋体" w:cs="宋体"/>
          <w:sz w:val="24"/>
          <w:szCs w:val="24"/>
        </w:rPr>
      </w:pPr>
      <w:r>
        <w:rPr>
          <w:rFonts w:hint="eastAsia" w:ascii="宋体" w:hAnsi="宋体" w:cs="宋体"/>
          <w:sz w:val="24"/>
          <w:szCs w:val="24"/>
        </w:rPr>
        <w:t>5.最高限价：</w:t>
      </w:r>
      <w:r>
        <w:rPr>
          <w:rFonts w:hint="eastAsia" w:ascii="宋体" w:hAnsi="宋体"/>
          <w:sz w:val="24"/>
        </w:rPr>
        <w:t>336万元。</w:t>
      </w:r>
    </w:p>
    <w:p>
      <w:pPr>
        <w:spacing w:line="360" w:lineRule="auto"/>
        <w:ind w:firstLine="480" w:firstLineChars="200"/>
      </w:pPr>
      <w:r>
        <w:rPr>
          <w:rFonts w:hint="eastAsia" w:ascii="宋体" w:hAnsi="宋体" w:cs="宋体"/>
          <w:sz w:val="24"/>
          <w:szCs w:val="24"/>
        </w:rPr>
        <w:t>6.采购需求：</w:t>
      </w:r>
      <w:r>
        <w:rPr>
          <w:rFonts w:hint="eastAsia" w:cs="宋体"/>
          <w:sz w:val="24"/>
          <w:szCs w:val="24"/>
        </w:rPr>
        <w:t>详见需求。</w:t>
      </w:r>
    </w:p>
    <w:p>
      <w:pPr>
        <w:pStyle w:val="55"/>
        <w:ind w:firstLine="480" w:firstLineChars="200"/>
        <w:rPr>
          <w:color w:val="auto"/>
        </w:rPr>
      </w:pPr>
      <w:r>
        <w:rPr>
          <w:rFonts w:hint="eastAsia" w:ascii="宋体"/>
          <w:color w:val="auto"/>
          <w:szCs w:val="22"/>
        </w:rPr>
        <w:t>7、本项目</w:t>
      </w:r>
      <w:r>
        <w:rPr>
          <w:rFonts w:hint="eastAsia" w:ascii="宋体"/>
          <w:b/>
          <w:bCs/>
          <w:color w:val="auto"/>
          <w:szCs w:val="22"/>
          <w:u w:val="single"/>
        </w:rPr>
        <w:t>不接受</w:t>
      </w:r>
      <w:r>
        <w:rPr>
          <w:rFonts w:hint="eastAsia" w:ascii="宋体"/>
          <w:color w:val="auto"/>
          <w:szCs w:val="22"/>
        </w:rPr>
        <w:t>联合体投标。</w:t>
      </w:r>
    </w:p>
    <w:p>
      <w:pPr>
        <w:spacing w:line="360" w:lineRule="auto"/>
        <w:ind w:firstLine="482" w:firstLineChars="200"/>
        <w:rPr>
          <w:rFonts w:ascii="宋体" w:hAnsi="宋体" w:cs="宋体"/>
          <w:b/>
          <w:bCs/>
          <w:sz w:val="24"/>
          <w:szCs w:val="24"/>
        </w:rPr>
      </w:pPr>
      <w:bookmarkStart w:id="10" w:name="_Toc28359090"/>
      <w:bookmarkStart w:id="11" w:name="_Toc35393799"/>
      <w:bookmarkStart w:id="12" w:name="_Toc35393630"/>
      <w:bookmarkStart w:id="13" w:name="_Toc28359013"/>
      <w:r>
        <w:rPr>
          <w:rFonts w:hint="eastAsia" w:ascii="宋体" w:hAnsi="宋体" w:cs="宋体"/>
          <w:b/>
          <w:bCs/>
          <w:sz w:val="24"/>
          <w:szCs w:val="24"/>
        </w:rPr>
        <w:t>二、申请人的资格要求：</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spacing w:line="360" w:lineRule="auto"/>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r>
        <w:rPr>
          <w:rFonts w:hint="eastAsia" w:ascii="宋体" w:hAnsi="宋体" w:cs="宋体"/>
          <w:sz w:val="24"/>
          <w:szCs w:val="24"/>
        </w:rPr>
        <w:br w:type="textWrapping"/>
      </w:r>
      <w:r>
        <w:rPr>
          <w:rFonts w:hint="eastAsia" w:ascii="宋体" w:hAnsi="宋体" w:cs="宋体"/>
          <w:sz w:val="24"/>
          <w:szCs w:val="24"/>
        </w:rPr>
        <w:t>　  (2)上一年度的财务报表（成立不满一年不需提供）；</w:t>
      </w:r>
    </w:p>
    <w:p>
      <w:pPr>
        <w:spacing w:line="360" w:lineRule="auto"/>
        <w:ind w:firstLine="480" w:firstLineChars="200"/>
        <w:rPr>
          <w:rFonts w:ascii="宋体" w:hAnsi="宋体" w:cs="宋体"/>
          <w:sz w:val="24"/>
          <w:szCs w:val="24"/>
        </w:rPr>
      </w:pPr>
      <w:r>
        <w:rPr>
          <w:rFonts w:hint="eastAsia" w:ascii="宋体" w:hAnsi="宋体" w:cs="宋体"/>
          <w:sz w:val="24"/>
          <w:szCs w:val="24"/>
        </w:rPr>
        <w:t>(3)依法缴纳税收和社会保障资金的相关材料；</w:t>
      </w:r>
      <w:r>
        <w:rPr>
          <w:rFonts w:hint="eastAsia" w:ascii="宋体" w:hAnsi="宋体" w:cs="宋体"/>
          <w:sz w:val="24"/>
          <w:szCs w:val="24"/>
        </w:rPr>
        <w:br w:type="textWrapping"/>
      </w:r>
      <w:r>
        <w:rPr>
          <w:rFonts w:hint="eastAsia" w:ascii="宋体" w:hAnsi="宋体" w:cs="宋体"/>
          <w:sz w:val="24"/>
          <w:szCs w:val="24"/>
        </w:rPr>
        <w:t>　　(4)具备履行合同所必需的设备和专业技术能力的书面声明；</w:t>
      </w:r>
      <w:r>
        <w:rPr>
          <w:rFonts w:hint="eastAsia" w:ascii="宋体" w:hAnsi="宋体" w:cs="宋体"/>
          <w:sz w:val="24"/>
          <w:szCs w:val="24"/>
        </w:rPr>
        <w:br w:type="textWrapping"/>
      </w:r>
      <w:r>
        <w:rPr>
          <w:rFonts w:hint="eastAsia" w:ascii="宋体" w:hAnsi="宋体" w:cs="宋体"/>
          <w:sz w:val="24"/>
          <w:szCs w:val="24"/>
        </w:rPr>
        <w:t>　　(5)参加政府采购活动前3年内在经营活动中没有重大违法记录的书面声明；</w:t>
      </w:r>
    </w:p>
    <w:p>
      <w:pPr>
        <w:spacing w:line="360" w:lineRule="auto"/>
        <w:ind w:firstLine="480" w:firstLineChars="200"/>
        <w:rPr>
          <w:rFonts w:ascii="宋体" w:hAnsi="宋体" w:cs="宋体"/>
          <w:sz w:val="24"/>
          <w:szCs w:val="24"/>
        </w:rPr>
      </w:pPr>
      <w:bookmarkStart w:id="14" w:name="_Toc28359091"/>
      <w:bookmarkStart w:id="15" w:name="_Toc28359014"/>
      <w:r>
        <w:rPr>
          <w:rFonts w:hint="eastAsia" w:ascii="宋体" w:hAnsi="宋体" w:cs="宋体"/>
          <w:sz w:val="24"/>
          <w:szCs w:val="24"/>
        </w:rPr>
        <w:t>2.落实政府采购政策需满足的资格要求：无</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sz w:val="24"/>
        </w:rPr>
      </w:pPr>
      <w:r>
        <w:rPr>
          <w:rFonts w:hint="eastAsia" w:ascii="宋体" w:hAnsi="宋体" w:cs="宋体"/>
          <w:sz w:val="24"/>
          <w:szCs w:val="24"/>
        </w:rPr>
        <w:t>（1）未被“信用中国”网站（www.creditchina.gov.cn）列入失信被执行人、重大税收违法案件当事人名单、政府采购严重失信行为记录名单。</w:t>
      </w:r>
    </w:p>
    <w:p>
      <w:pPr>
        <w:spacing w:line="360" w:lineRule="auto"/>
        <w:ind w:firstLine="480" w:firstLineChars="200"/>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（2）单位负责人为同一人或者存在直接控股、管理关系的不同供应商，不得参加同一合同项下的政府采购活动。</w:t>
      </w:r>
      <w:bookmarkStart w:id="16" w:name="_Toc35393800"/>
      <w:bookmarkStart w:id="17" w:name="_Toc35393631"/>
    </w:p>
    <w:p>
      <w:pPr>
        <w:spacing w:line="360" w:lineRule="auto"/>
        <w:ind w:firstLine="480" w:firstLineChars="200"/>
      </w:pPr>
      <w:r>
        <w:rPr>
          <w:rFonts w:hint="eastAsia" w:ascii="宋体" w:hAnsi="宋体" w:cs="宋体"/>
          <w:kern w:val="0"/>
          <w:sz w:val="24"/>
        </w:rPr>
        <w:t>（3）授权委托人须为本单位正式职工。（提供授权委托人身份证、社保机构能提供的最近1个月的社保证明，法定代表人参与投标无须提供）。</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三、获取采购文件</w:t>
      </w:r>
      <w:bookmarkEnd w:id="14"/>
      <w:bookmarkEnd w:id="15"/>
      <w:bookmarkEnd w:id="16"/>
      <w:bookmarkEnd w:id="17"/>
    </w:p>
    <w:p>
      <w:pPr>
        <w:spacing w:line="360" w:lineRule="auto"/>
        <w:ind w:firstLine="540"/>
        <w:rPr>
          <w:rFonts w:ascii="宋体" w:hAnsi="宋体" w:cs="宋体"/>
          <w:sz w:val="24"/>
          <w:szCs w:val="24"/>
        </w:rPr>
      </w:pPr>
      <w:bookmarkStart w:id="18" w:name="_Toc28359092"/>
      <w:bookmarkStart w:id="19" w:name="_Toc35393632"/>
      <w:bookmarkStart w:id="20" w:name="_Toc28359015"/>
      <w:bookmarkStart w:id="21" w:name="_Toc35393801"/>
      <w:r>
        <w:rPr>
          <w:rFonts w:hint="eastAsia" w:ascii="宋体" w:hAnsi="宋体" w:cs="宋体"/>
          <w:sz w:val="24"/>
          <w:szCs w:val="24"/>
        </w:rPr>
        <w:t>时间：</w:t>
      </w:r>
      <w:r>
        <w:rPr>
          <w:rFonts w:hint="eastAsia" w:ascii="宋体" w:hAnsi="宋体" w:cs="宋体"/>
          <w:sz w:val="24"/>
          <w:szCs w:val="24"/>
          <w:u w:val="single"/>
        </w:rPr>
        <w:t>自公告之日起至投标截止时间前1日</w:t>
      </w:r>
    </w:p>
    <w:p>
      <w:pPr>
        <w:spacing w:line="360" w:lineRule="auto"/>
        <w:ind w:firstLine="540"/>
        <w:rPr>
          <w:rFonts w:ascii="宋体" w:hAnsi="宋体" w:cs="宋体"/>
          <w:sz w:val="24"/>
          <w:szCs w:val="24"/>
          <w:u w:val="single"/>
        </w:rPr>
      </w:pPr>
      <w:r>
        <w:rPr>
          <w:rFonts w:hint="eastAsia" w:ascii="宋体" w:hAnsi="宋体" w:cs="宋体"/>
          <w:sz w:val="24"/>
          <w:szCs w:val="24"/>
        </w:rPr>
        <w:t>地点：江苏政府采购网（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w:t>
      </w:r>
    </w:p>
    <w:p>
      <w:pPr>
        <w:spacing w:line="360" w:lineRule="auto"/>
        <w:ind w:firstLine="540"/>
        <w:rPr>
          <w:rFonts w:ascii="宋体" w:hAnsi="宋体" w:cs="宋体"/>
          <w:sz w:val="24"/>
          <w:szCs w:val="24"/>
        </w:rPr>
      </w:pPr>
      <w:r>
        <w:rPr>
          <w:rFonts w:hint="eastAsia" w:ascii="宋体" w:hAnsi="宋体" w:cs="宋体"/>
          <w:sz w:val="24"/>
          <w:szCs w:val="24"/>
        </w:rPr>
        <w:t>方式：在江苏政府采购网（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）、江苏省盐城技师学院官方网站（http://www.ycjsxy.com/）免费下载。</w:t>
      </w:r>
    </w:p>
    <w:p>
      <w:pPr>
        <w:spacing w:line="360" w:lineRule="auto"/>
        <w:ind w:firstLine="540"/>
        <w:rPr>
          <w:rFonts w:ascii="宋体" w:hAnsi="宋体" w:cs="宋体"/>
          <w:b/>
          <w:bCs/>
          <w:sz w:val="24"/>
          <w:szCs w:val="24"/>
        </w:rPr>
      </w:pPr>
      <w:r>
        <w:rPr>
          <w:rFonts w:hint="eastAsia" w:ascii="宋体" w:hAnsi="宋体" w:cs="宋体"/>
          <w:b/>
          <w:bCs/>
          <w:sz w:val="24"/>
          <w:szCs w:val="24"/>
        </w:rPr>
        <w:t>四、报名及响应文件提交</w:t>
      </w:r>
      <w:bookmarkEnd w:id="18"/>
      <w:bookmarkEnd w:id="19"/>
      <w:bookmarkEnd w:id="20"/>
      <w:bookmarkEnd w:id="21"/>
    </w:p>
    <w:p>
      <w:pPr>
        <w:spacing w:line="360" w:lineRule="auto"/>
        <w:ind w:firstLine="480" w:firstLineChars="200"/>
        <w:rPr>
          <w:rFonts w:ascii="宋体" w:hAnsi="宋体" w:cs="宋体"/>
          <w:sz w:val="24"/>
          <w:szCs w:val="24"/>
        </w:rPr>
      </w:pPr>
      <w:bookmarkStart w:id="22" w:name="_Toc28359017"/>
      <w:bookmarkStart w:id="23" w:name="_Toc35393634"/>
      <w:bookmarkStart w:id="24" w:name="_Toc35393803"/>
      <w:bookmarkStart w:id="25" w:name="_Toc28359094"/>
      <w:r>
        <w:rPr>
          <w:rFonts w:hint="eastAsia" w:ascii="宋体" w:hAnsi="宋体" w:cs="宋体"/>
          <w:sz w:val="24"/>
          <w:szCs w:val="24"/>
        </w:rPr>
        <w:t>（一）报名：</w:t>
      </w:r>
      <w:r>
        <w:rPr>
          <w:rFonts w:hint="eastAsia" w:ascii="宋体" w:hAnsi="宋体" w:cs="宋体"/>
          <w:b/>
          <w:bCs/>
          <w:sz w:val="24"/>
          <w:szCs w:val="24"/>
        </w:rPr>
        <w:t>自公告之日起至投标截止时间前1日</w:t>
      </w:r>
      <w:r>
        <w:rPr>
          <w:rFonts w:hint="eastAsia" w:ascii="宋体" w:hAnsi="宋体" w:cs="宋体"/>
          <w:sz w:val="24"/>
          <w:szCs w:val="24"/>
        </w:rPr>
        <w:t>，招标（采购）资料费200.00元，投标人交纳的招标（采购）资料费，不予退还。</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（二）响应文件接收时间：2021年5月</w:t>
      </w:r>
      <w:r>
        <w:rPr>
          <w:rFonts w:hint="eastAsia" w:ascii="宋体" w:hAnsi="宋体" w:cs="宋体"/>
          <w:sz w:val="24"/>
          <w:szCs w:val="24"/>
          <w:lang w:val="en-US" w:eastAsia="zh-CN"/>
        </w:rPr>
        <w:t>14</w:t>
      </w:r>
      <w:r>
        <w:rPr>
          <w:rFonts w:hint="eastAsia" w:ascii="宋体" w:hAnsi="宋体" w:cs="宋体"/>
          <w:sz w:val="24"/>
          <w:szCs w:val="24"/>
        </w:rPr>
        <w:t>日</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-9：</w:t>
      </w:r>
      <w:r>
        <w:rPr>
          <w:rFonts w:hint="eastAsia" w:ascii="宋体" w:hAnsi="宋体" w:cs="宋体"/>
          <w:sz w:val="24"/>
          <w:szCs w:val="24"/>
          <w:lang w:val="en-US" w:eastAsia="zh-CN"/>
        </w:rPr>
        <w:t>00</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（三）响应文件接收截止时间：2021年5月</w:t>
      </w:r>
      <w:r>
        <w:rPr>
          <w:rFonts w:hint="eastAsia" w:ascii="宋体" w:hAnsi="宋体" w:cs="宋体"/>
          <w:sz w:val="24"/>
          <w:szCs w:val="24"/>
          <w:lang w:val="en-US" w:eastAsia="zh-CN"/>
        </w:rPr>
        <w:t>14</w:t>
      </w:r>
      <w:r>
        <w:rPr>
          <w:rFonts w:hint="eastAsia" w:ascii="宋体" w:hAnsi="宋体" w:cs="宋体"/>
          <w:sz w:val="24"/>
          <w:szCs w:val="24"/>
        </w:rPr>
        <w:t>日9：</w:t>
      </w:r>
      <w:r>
        <w:rPr>
          <w:rFonts w:hint="eastAsia" w:ascii="宋体" w:hAnsi="宋体" w:cs="宋体"/>
          <w:sz w:val="24"/>
          <w:szCs w:val="24"/>
          <w:lang w:val="en-US" w:eastAsia="zh-CN"/>
        </w:rPr>
        <w:t>00</w:t>
      </w:r>
    </w:p>
    <w:p>
      <w:pPr>
        <w:spacing w:line="360" w:lineRule="auto"/>
        <w:ind w:firstLine="480" w:firstLineChars="200"/>
        <w:rPr>
          <w:rFonts w:ascii="宋体" w:hAnsi="宋体" w:cs="宋体"/>
          <w:sz w:val="24"/>
          <w:szCs w:val="24"/>
        </w:rPr>
      </w:pPr>
      <w:r>
        <w:rPr>
          <w:rFonts w:hint="eastAsia" w:ascii="宋体" w:hAnsi="宋体" w:cs="宋体"/>
          <w:sz w:val="24"/>
          <w:szCs w:val="24"/>
        </w:rPr>
        <w:t>（四）投标文件接收地点：江苏省盐城技师学院研发中心</w:t>
      </w:r>
      <w:r>
        <w:rPr>
          <w:rFonts w:hint="eastAsia" w:ascii="宋体" w:hAnsi="宋体" w:cs="宋体"/>
          <w:sz w:val="24"/>
          <w:szCs w:val="24"/>
          <w:lang w:val="en-US" w:eastAsia="zh-CN"/>
        </w:rPr>
        <w:t>11</w:t>
      </w:r>
      <w:r>
        <w:rPr>
          <w:rFonts w:hint="eastAsia" w:ascii="宋体" w:hAnsi="宋体" w:cs="宋体"/>
          <w:sz w:val="24"/>
          <w:szCs w:val="24"/>
        </w:rPr>
        <w:t>楼会议室（文港中路128号）。</w:t>
      </w:r>
    </w:p>
    <w:p>
      <w:pPr>
        <w:spacing w:line="360" w:lineRule="auto"/>
        <w:ind w:firstLine="480" w:firstLineChars="200"/>
        <w:rPr>
          <w:rFonts w:ascii="宋体" w:hAnsi="宋体" w:cs="宋体"/>
          <w:sz w:val="24"/>
          <w:szCs w:val="24"/>
        </w:rPr>
      </w:pPr>
      <w:r>
        <w:rPr>
          <w:rFonts w:hint="eastAsia" w:ascii="宋体" w:hAnsi="宋体" w:cs="宋体"/>
          <w:sz w:val="24"/>
          <w:szCs w:val="24"/>
        </w:rPr>
        <w:t>（四）其他要求：投标人的授权代表必须携带本人有效身份证，否则投标文件不予接收。</w:t>
      </w:r>
    </w:p>
    <w:p>
      <w:pPr>
        <w:spacing w:line="360" w:lineRule="auto"/>
        <w:ind w:firstLine="482" w:firstLineChars="200"/>
        <w:rPr>
          <w:rFonts w:ascii="宋体" w:hAnsi="宋体"/>
          <w:sz w:val="24"/>
          <w:szCs w:val="24"/>
        </w:rPr>
      </w:pPr>
      <w:r>
        <w:rPr>
          <w:rFonts w:hint="eastAsia" w:ascii="宋体" w:hAnsi="宋体" w:cs="宋体"/>
          <w:b/>
          <w:bCs/>
          <w:sz w:val="24"/>
          <w:szCs w:val="24"/>
        </w:rPr>
        <w:t>五、协商时间、地点：</w:t>
      </w:r>
    </w:p>
    <w:p>
      <w:pPr>
        <w:spacing w:line="360" w:lineRule="auto"/>
        <w:ind w:firstLine="480" w:firstLineChars="200"/>
        <w:rPr>
          <w:rFonts w:ascii="宋体" w:hAnsi="宋体"/>
          <w:sz w:val="24"/>
          <w:szCs w:val="24"/>
        </w:rPr>
      </w:pPr>
      <w:r>
        <w:rPr>
          <w:rFonts w:hint="eastAsia" w:ascii="宋体" w:hAnsi="宋体"/>
          <w:sz w:val="24"/>
          <w:szCs w:val="24"/>
        </w:rPr>
        <w:t>递交协商响应文件的时间：截止</w:t>
      </w:r>
      <w:r>
        <w:rPr>
          <w:rFonts w:hint="eastAsia" w:ascii="宋体" w:hAnsi="宋体" w:cs="宋体"/>
          <w:sz w:val="24"/>
          <w:szCs w:val="24"/>
        </w:rPr>
        <w:t>2021</w:t>
      </w:r>
      <w:r>
        <w:rPr>
          <w:rFonts w:hint="eastAsia" w:ascii="宋体" w:hAnsi="宋体" w:cs="宋体"/>
          <w:bCs/>
          <w:sz w:val="24"/>
          <w:szCs w:val="24"/>
        </w:rPr>
        <w:t>年5月</w:t>
      </w:r>
      <w:r>
        <w:rPr>
          <w:rFonts w:hint="eastAsia" w:ascii="宋体" w:hAnsi="宋体" w:cs="宋体"/>
          <w:bCs/>
          <w:sz w:val="24"/>
          <w:szCs w:val="24"/>
          <w:lang w:val="en-US" w:eastAsia="zh-CN"/>
        </w:rPr>
        <w:t>14</w:t>
      </w:r>
      <w:r>
        <w:rPr>
          <w:rFonts w:hint="eastAsia" w:ascii="宋体" w:hAnsi="宋体" w:cs="宋体"/>
          <w:bCs/>
          <w:sz w:val="24"/>
          <w:szCs w:val="24"/>
        </w:rPr>
        <w:t>日</w:t>
      </w:r>
      <w:r>
        <w:rPr>
          <w:rFonts w:hint="eastAsia" w:ascii="宋体" w:hAnsi="宋体" w:cs="宋体"/>
          <w:bCs/>
          <w:sz w:val="24"/>
          <w:szCs w:val="24"/>
          <w:lang w:eastAsia="zh-CN"/>
        </w:rPr>
        <w:t>上</w:t>
      </w:r>
      <w:r>
        <w:rPr>
          <w:rFonts w:hint="eastAsia" w:ascii="宋体" w:hAnsi="宋体" w:cs="宋体"/>
          <w:bCs/>
          <w:sz w:val="24"/>
          <w:szCs w:val="24"/>
        </w:rPr>
        <w:t>午</w:t>
      </w:r>
      <w:r>
        <w:rPr>
          <w:rFonts w:hint="eastAsia" w:ascii="宋体" w:hAnsi="宋体" w:cs="宋体"/>
          <w:bCs/>
          <w:sz w:val="24"/>
          <w:szCs w:val="24"/>
          <w:lang w:val="en-US" w:eastAsia="zh-CN"/>
        </w:rPr>
        <w:t>9</w:t>
      </w:r>
      <w:r>
        <w:rPr>
          <w:rFonts w:hint="eastAsia" w:ascii="宋体" w:hAnsi="宋体" w:cs="宋体"/>
          <w:bCs/>
          <w:sz w:val="24"/>
          <w:szCs w:val="24"/>
        </w:rPr>
        <w:t>点</w:t>
      </w:r>
      <w:r>
        <w:rPr>
          <w:rFonts w:hint="eastAsia" w:ascii="宋体" w:hAnsi="宋体" w:cs="宋体"/>
          <w:bCs/>
          <w:sz w:val="24"/>
          <w:szCs w:val="24"/>
          <w:lang w:val="en-US" w:eastAsia="zh-CN"/>
        </w:rPr>
        <w:t>00</w:t>
      </w:r>
      <w:r>
        <w:rPr>
          <w:rFonts w:hint="eastAsia" w:ascii="宋体" w:hAnsi="宋体" w:cs="宋体"/>
          <w:bCs/>
          <w:sz w:val="24"/>
          <w:szCs w:val="24"/>
        </w:rPr>
        <w:t>分（北京时间）</w:t>
      </w:r>
    </w:p>
    <w:p>
      <w:pPr>
        <w:numPr>
          <w:ilvl w:val="0"/>
          <w:numId w:val="1"/>
        </w:numPr>
        <w:overflowPunct w:val="0"/>
        <w:spacing w:line="520" w:lineRule="exact"/>
        <w:ind w:firstLine="480" w:firstLineChars="200"/>
        <w:jc w:val="left"/>
        <w:rPr>
          <w:rFonts w:ascii="宋体" w:hAnsi="宋体"/>
          <w:sz w:val="24"/>
          <w:szCs w:val="24"/>
        </w:rPr>
      </w:pPr>
      <w:r>
        <w:rPr>
          <w:rFonts w:hint="eastAsia" w:ascii="宋体" w:hAnsi="宋体"/>
          <w:sz w:val="24"/>
          <w:szCs w:val="24"/>
        </w:rPr>
        <w:t>递交响应文件地点：</w:t>
      </w:r>
      <w:bookmarkEnd w:id="22"/>
      <w:bookmarkEnd w:id="23"/>
      <w:bookmarkEnd w:id="24"/>
      <w:bookmarkEnd w:id="25"/>
      <w:bookmarkStart w:id="26" w:name="_Toc35393635"/>
      <w:bookmarkStart w:id="27" w:name="_Toc35393804"/>
      <w:r>
        <w:rPr>
          <w:rFonts w:hint="eastAsia" w:ascii="宋体" w:hAnsi="宋体"/>
          <w:sz w:val="24"/>
          <w:szCs w:val="24"/>
        </w:rPr>
        <w:t>江苏省盐城技师学院研发中心</w:t>
      </w:r>
      <w:r>
        <w:rPr>
          <w:rFonts w:hint="eastAsia" w:ascii="宋体" w:hAnsi="宋体"/>
          <w:sz w:val="24"/>
          <w:szCs w:val="24"/>
          <w:lang w:val="en-US" w:eastAsia="zh-CN"/>
        </w:rPr>
        <w:t>11</w:t>
      </w:r>
      <w:bookmarkStart w:id="65" w:name="_GoBack"/>
      <w:bookmarkEnd w:id="65"/>
      <w:r>
        <w:rPr>
          <w:rFonts w:hint="eastAsia" w:ascii="宋体" w:hAnsi="宋体"/>
          <w:sz w:val="24"/>
          <w:szCs w:val="24"/>
        </w:rPr>
        <w:t>楼会议室（文港中路128号）。</w:t>
      </w:r>
    </w:p>
    <w:p>
      <w:pPr>
        <w:numPr>
          <w:ilvl w:val="0"/>
          <w:numId w:val="1"/>
        </w:numPr>
        <w:overflowPunct w:val="0"/>
        <w:spacing w:line="520" w:lineRule="exact"/>
        <w:ind w:firstLine="482" w:firstLineChars="200"/>
        <w:jc w:val="left"/>
        <w:rPr>
          <w:rFonts w:ascii="宋体"/>
          <w:b/>
          <w:spacing w:val="10"/>
          <w:kern w:val="15"/>
          <w:position w:val="2"/>
          <w:sz w:val="24"/>
        </w:rPr>
      </w:pPr>
      <w:r>
        <w:rPr>
          <w:rFonts w:hint="eastAsia" w:ascii="宋体" w:hAnsi="宋体" w:cs="宋体"/>
          <w:b/>
          <w:bCs/>
          <w:sz w:val="24"/>
          <w:szCs w:val="24"/>
        </w:rPr>
        <w:t>单一</w:t>
      </w:r>
      <w:r>
        <w:rPr>
          <w:rFonts w:hint="eastAsia" w:ascii="宋体"/>
          <w:b/>
          <w:spacing w:val="10"/>
          <w:kern w:val="15"/>
          <w:position w:val="2"/>
          <w:sz w:val="24"/>
        </w:rPr>
        <w:t>文件制作份数要求</w:t>
      </w:r>
    </w:p>
    <w:p>
      <w:pPr>
        <w:overflowPunct w:val="0"/>
        <w:spacing w:line="520" w:lineRule="exact"/>
        <w:ind w:firstLine="520" w:firstLineChars="200"/>
        <w:jc w:val="left"/>
        <w:rPr>
          <w:rFonts w:ascii="宋体"/>
          <w:spacing w:val="10"/>
          <w:kern w:val="15"/>
          <w:position w:val="2"/>
          <w:sz w:val="24"/>
        </w:rPr>
      </w:pPr>
      <w:r>
        <w:rPr>
          <w:rFonts w:hint="eastAsia" w:ascii="宋体"/>
          <w:spacing w:val="10"/>
          <w:kern w:val="15"/>
          <w:position w:val="2"/>
          <w:sz w:val="24"/>
        </w:rPr>
        <w:t>正本一份：1份   副本份数：2份</w:t>
      </w:r>
    </w:p>
    <w:bookmarkEnd w:id="26"/>
    <w:bookmarkEnd w:id="27"/>
    <w:p>
      <w:pPr>
        <w:spacing w:line="360" w:lineRule="auto"/>
        <w:ind w:firstLine="482" w:firstLineChars="200"/>
        <w:rPr>
          <w:rFonts w:ascii="宋体" w:hAnsi="宋体" w:cs="宋体"/>
          <w:b/>
          <w:bCs/>
          <w:sz w:val="24"/>
          <w:szCs w:val="24"/>
        </w:rPr>
      </w:pPr>
      <w:bookmarkStart w:id="28" w:name="_Toc35393636"/>
      <w:bookmarkStart w:id="29" w:name="_Toc28359018"/>
      <w:bookmarkStart w:id="30" w:name="_Toc35393805"/>
      <w:bookmarkStart w:id="31" w:name="_Toc28359095"/>
      <w:r>
        <w:rPr>
          <w:rFonts w:hint="eastAsia" w:ascii="宋体" w:hAnsi="宋体" w:cs="宋体"/>
          <w:b/>
          <w:bCs/>
          <w:sz w:val="24"/>
          <w:szCs w:val="24"/>
        </w:rPr>
        <w:t>七、凡对本次采购提出询问，请按以下方式联系。</w:t>
      </w:r>
      <w:bookmarkEnd w:id="1"/>
      <w:bookmarkEnd w:id="2"/>
      <w:bookmarkEnd w:id="3"/>
      <w:bookmarkEnd w:id="4"/>
      <w:bookmarkEnd w:id="5"/>
      <w:bookmarkEnd w:id="28"/>
      <w:bookmarkEnd w:id="29"/>
      <w:bookmarkEnd w:id="30"/>
      <w:bookmarkEnd w:id="31"/>
      <w:bookmarkStart w:id="32" w:name="_Toc35393637"/>
      <w:bookmarkStart w:id="33" w:name="_Toc28359096"/>
      <w:bookmarkStart w:id="34" w:name="_Toc35393806"/>
      <w:bookmarkStart w:id="35" w:name="_Toc28359019"/>
      <w:bookmarkStart w:id="36" w:name="_Toc1660839"/>
      <w:bookmarkStart w:id="37" w:name="_Toc16938558"/>
      <w:bookmarkStart w:id="38" w:name="_Toc479757207"/>
      <w:bookmarkStart w:id="39" w:name="_Toc20823314"/>
      <w:bookmarkStart w:id="40" w:name="_Toc513029242"/>
      <w:bookmarkStart w:id="41" w:name="_Toc120614221"/>
    </w:p>
    <w:p>
      <w:pPr>
        <w:spacing w:line="360" w:lineRule="auto"/>
        <w:ind w:firstLine="723" w:firstLineChars="300"/>
        <w:rPr>
          <w:rFonts w:ascii="宋体" w:hAnsi="宋体" w:cs="宋体"/>
          <w:b/>
          <w:bCs/>
          <w:sz w:val="24"/>
          <w:szCs w:val="24"/>
        </w:rPr>
      </w:pPr>
      <w:r>
        <w:rPr>
          <w:rFonts w:hint="eastAsia" w:ascii="宋体" w:hAnsi="宋体" w:cs="宋体"/>
          <w:b/>
          <w:bCs/>
          <w:sz w:val="24"/>
          <w:szCs w:val="24"/>
        </w:rPr>
        <w:t>1.采购人信息</w:t>
      </w:r>
      <w:bookmarkEnd w:id="32"/>
      <w:bookmarkEnd w:id="33"/>
      <w:bookmarkEnd w:id="34"/>
      <w:bookmarkEnd w:id="35"/>
    </w:p>
    <w:p>
      <w:pPr>
        <w:spacing w:line="360" w:lineRule="auto"/>
        <w:ind w:firstLine="720" w:firstLineChars="300"/>
        <w:rPr>
          <w:rFonts w:ascii="宋体" w:hAnsi="宋体" w:cs="宋体"/>
          <w:sz w:val="24"/>
          <w:szCs w:val="24"/>
        </w:rPr>
      </w:pPr>
      <w:bookmarkStart w:id="42" w:name="_Toc28359097"/>
      <w:bookmarkStart w:id="43" w:name="_Toc35393638"/>
      <w:bookmarkStart w:id="44" w:name="_Toc28359020"/>
      <w:bookmarkStart w:id="45" w:name="_Toc35393807"/>
      <w:r>
        <w:rPr>
          <w:rFonts w:hint="eastAsia" w:ascii="宋体" w:hAnsi="宋体" w:cs="宋体"/>
          <w:sz w:val="24"/>
          <w:szCs w:val="24"/>
        </w:rPr>
        <w:t>名    称：江苏省盐城技师学院　　　</w:t>
      </w:r>
    </w:p>
    <w:p>
      <w:pPr>
        <w:spacing w:line="360" w:lineRule="auto"/>
        <w:ind w:firstLine="720" w:firstLineChars="300"/>
        <w:rPr>
          <w:rFonts w:ascii="宋体" w:hAnsi="宋体" w:cs="宋体"/>
          <w:sz w:val="24"/>
          <w:szCs w:val="24"/>
        </w:rPr>
      </w:pPr>
      <w:r>
        <w:rPr>
          <w:rFonts w:hint="eastAsia" w:ascii="宋体" w:hAnsi="宋体" w:cs="宋体"/>
          <w:sz w:val="24"/>
          <w:szCs w:val="24"/>
        </w:rPr>
        <w:t>地    址：盐城市文港中路128号</w:t>
      </w:r>
    </w:p>
    <w:p>
      <w:pPr>
        <w:spacing w:line="360" w:lineRule="auto"/>
        <w:ind w:firstLine="720" w:firstLineChars="300"/>
        <w:rPr>
          <w:rFonts w:ascii="宋体" w:hAnsi="宋体" w:cs="宋体"/>
          <w:sz w:val="24"/>
          <w:szCs w:val="24"/>
        </w:rPr>
      </w:pPr>
      <w:r>
        <w:rPr>
          <w:rFonts w:hint="eastAsia" w:ascii="宋体" w:hAnsi="宋体" w:cs="宋体"/>
          <w:sz w:val="24"/>
          <w:szCs w:val="24"/>
        </w:rPr>
        <w:t>联 系 人：杨老师</w:t>
      </w:r>
    </w:p>
    <w:p>
      <w:pPr>
        <w:spacing w:line="360" w:lineRule="auto"/>
        <w:ind w:firstLine="720" w:firstLineChars="300"/>
        <w:rPr>
          <w:rFonts w:ascii="宋体" w:hAnsi="宋体" w:cs="宋体"/>
          <w:sz w:val="24"/>
          <w:szCs w:val="24"/>
        </w:rPr>
      </w:pPr>
      <w:r>
        <w:rPr>
          <w:rFonts w:hint="eastAsia" w:ascii="宋体" w:hAnsi="宋体" w:cs="宋体"/>
          <w:sz w:val="24"/>
          <w:szCs w:val="24"/>
        </w:rPr>
        <w:t>联系电话：0515-68661002</w:t>
      </w:r>
    </w:p>
    <w:bookmarkEnd w:id="42"/>
    <w:bookmarkEnd w:id="43"/>
    <w:bookmarkEnd w:id="44"/>
    <w:bookmarkEnd w:id="45"/>
    <w:p>
      <w:pPr>
        <w:spacing w:line="360" w:lineRule="auto"/>
        <w:ind w:firstLine="480" w:firstLineChars="200"/>
        <w:rPr>
          <w:rFonts w:ascii="宋体" w:hAnsi="宋体" w:cs="宋体"/>
          <w:sz w:val="24"/>
          <w:szCs w:val="24"/>
        </w:rPr>
      </w:pPr>
      <w:bookmarkStart w:id="46" w:name="_Toc28359021"/>
      <w:bookmarkStart w:id="47" w:name="_Toc35393808"/>
      <w:bookmarkStart w:id="48" w:name="_Toc28359098"/>
      <w:bookmarkStart w:id="49" w:name="_Toc35393639"/>
      <w:r>
        <w:rPr>
          <w:rFonts w:hint="eastAsia" w:ascii="宋体" w:hAnsi="宋体" w:cs="宋体"/>
          <w:sz w:val="24"/>
          <w:szCs w:val="24"/>
        </w:rPr>
        <w:t>九、参加单位应认真阅读各项内容，进行必要的准备，按文件的要求详细填写和编制响应文件，按规定时间、地点准时参加协商。</w:t>
      </w:r>
    </w:p>
    <w:p>
      <w:pPr>
        <w:spacing w:line="360" w:lineRule="auto"/>
        <w:ind w:firstLine="480" w:firstLineChars="200"/>
        <w:rPr>
          <w:rFonts w:ascii="宋体" w:hAnsi="宋体" w:cs="宋体"/>
          <w:sz w:val="24"/>
          <w:szCs w:val="24"/>
        </w:rPr>
      </w:pPr>
      <w:r>
        <w:rPr>
          <w:rFonts w:hint="eastAsia" w:ascii="宋体" w:hAnsi="宋体" w:cs="宋体"/>
          <w:sz w:val="24"/>
          <w:szCs w:val="24"/>
        </w:rPr>
        <w:t>十、有关成交信息将同时在江苏政府采购网（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）、江苏省盐城技师学院官方网站（http://www.ycjsxy.com/）上发布，敬请留意！</w:t>
      </w:r>
    </w:p>
    <w:p>
      <w:pPr>
        <w:spacing w:line="360" w:lineRule="auto"/>
        <w:ind w:firstLine="480" w:firstLineChars="200"/>
        <w:rPr>
          <w:rFonts w:ascii="宋体" w:hAnsi="宋体" w:cs="宋体"/>
          <w:sz w:val="24"/>
          <w:szCs w:val="24"/>
        </w:rPr>
      </w:pPr>
      <w:r>
        <w:rPr>
          <w:rFonts w:hint="eastAsia" w:ascii="宋体" w:hAnsi="宋体" w:cs="宋体"/>
          <w:sz w:val="24"/>
          <w:szCs w:val="24"/>
        </w:rPr>
        <w:t>十一、因疫情防控需要，为确保校园安全投标人进入江苏省盐城技师学院文港中路校区时应服从下列疫情防控措施：</w:t>
      </w:r>
    </w:p>
    <w:p>
      <w:pPr>
        <w:spacing w:line="360" w:lineRule="auto"/>
        <w:ind w:firstLine="480" w:firstLineChars="200"/>
        <w:rPr>
          <w:rFonts w:ascii="宋体" w:hAnsi="宋体" w:cs="宋体"/>
          <w:sz w:val="24"/>
          <w:szCs w:val="24"/>
        </w:rPr>
      </w:pPr>
      <w:r>
        <w:rPr>
          <w:rFonts w:hint="eastAsia" w:ascii="宋体" w:hAnsi="宋体" w:cs="宋体"/>
          <w:sz w:val="24"/>
          <w:szCs w:val="24"/>
        </w:rPr>
        <w:t>（1）投标人从学校西大门进出；投标人车辆一律不得进入校园。</w:t>
      </w:r>
    </w:p>
    <w:p>
      <w:pPr>
        <w:spacing w:line="360" w:lineRule="auto"/>
        <w:ind w:firstLine="480" w:firstLineChars="200"/>
        <w:rPr>
          <w:rFonts w:ascii="宋体" w:hAnsi="宋体" w:cs="宋体"/>
          <w:sz w:val="24"/>
          <w:szCs w:val="24"/>
        </w:rPr>
      </w:pPr>
      <w:r>
        <w:rPr>
          <w:rFonts w:hint="eastAsia" w:ascii="宋体" w:hAnsi="宋体" w:cs="宋体"/>
          <w:sz w:val="24"/>
          <w:szCs w:val="24"/>
        </w:rPr>
        <w:t>（2） 各投标人项目授权代表限1人进入校园；项目授权代表进入校园时须自行配戴口罩、做好手部消毒及投标文件等消毒防护工作。</w:t>
      </w:r>
    </w:p>
    <w:p>
      <w:pPr>
        <w:spacing w:line="360" w:lineRule="auto"/>
        <w:ind w:firstLine="480" w:firstLineChars="200"/>
        <w:rPr>
          <w:rFonts w:ascii="宋体" w:hAnsi="宋体" w:cs="宋体"/>
          <w:sz w:val="24"/>
          <w:szCs w:val="24"/>
        </w:rPr>
      </w:pPr>
      <w:r>
        <w:rPr>
          <w:rFonts w:hint="eastAsia" w:ascii="宋体" w:hAnsi="宋体" w:cs="宋体"/>
          <w:sz w:val="24"/>
          <w:szCs w:val="24"/>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pPr>
        <w:spacing w:line="360" w:lineRule="auto"/>
        <w:ind w:firstLine="480" w:firstLineChars="200"/>
        <w:rPr>
          <w:rFonts w:ascii="宋体" w:hAnsi="宋体" w:cs="宋体"/>
          <w:sz w:val="24"/>
          <w:szCs w:val="24"/>
        </w:rPr>
      </w:pPr>
      <w:r>
        <w:rPr>
          <w:rFonts w:hint="eastAsia" w:ascii="宋体" w:hAnsi="宋体" w:cs="宋体"/>
          <w:sz w:val="24"/>
          <w:szCs w:val="24"/>
        </w:rPr>
        <w:t>（4）投标人进入校园后应在指定地点参与投标活动，不到非相关场所活动；投标工作结束后应立即离开校园，不逗留。</w:t>
      </w:r>
    </w:p>
    <w:p>
      <w:pPr>
        <w:pStyle w:val="54"/>
        <w:rPr>
          <w:color w:val="auto"/>
        </w:rPr>
      </w:pPr>
    </w:p>
    <w:bookmarkEnd w:id="46"/>
    <w:bookmarkEnd w:id="47"/>
    <w:bookmarkEnd w:id="48"/>
    <w:bookmarkEnd w:id="49"/>
    <w:p>
      <w:pPr>
        <w:rPr>
          <w:rFonts w:ascii="黑体" w:hAnsi="黑体" w:eastAsia="黑体"/>
          <w:sz w:val="44"/>
          <w:szCs w:val="44"/>
        </w:rPr>
      </w:pPr>
      <w:r>
        <w:rPr>
          <w:rFonts w:ascii="黑体" w:hAnsi="黑体" w:eastAsia="黑体"/>
          <w:sz w:val="44"/>
          <w:szCs w:val="44"/>
        </w:rPr>
        <w:br w:type="page"/>
      </w:r>
    </w:p>
    <w:p>
      <w:pPr>
        <w:pStyle w:val="3"/>
        <w:spacing w:line="360" w:lineRule="auto"/>
        <w:ind w:firstLine="1320" w:firstLineChars="300"/>
        <w:jc w:val="both"/>
        <w:rPr>
          <w:rFonts w:ascii="黑体" w:eastAsia="黑体"/>
          <w:sz w:val="44"/>
          <w:szCs w:val="44"/>
        </w:rPr>
      </w:pPr>
      <w:r>
        <w:rPr>
          <w:rFonts w:ascii="黑体" w:hAnsi="黑体" w:eastAsia="黑体"/>
          <w:sz w:val="44"/>
          <w:szCs w:val="44"/>
        </w:rPr>
        <w:t>第</w:t>
      </w:r>
      <w:r>
        <w:rPr>
          <w:rFonts w:hint="eastAsia" w:ascii="黑体" w:hAnsi="黑体" w:eastAsia="黑体"/>
          <w:sz w:val="44"/>
          <w:szCs w:val="44"/>
        </w:rPr>
        <w:t xml:space="preserve">二部分 </w:t>
      </w:r>
      <w:bookmarkEnd w:id="36"/>
      <w:r>
        <w:rPr>
          <w:rFonts w:hint="eastAsia" w:ascii="黑体" w:hAnsi="黑体" w:eastAsia="黑体"/>
          <w:sz w:val="44"/>
          <w:szCs w:val="44"/>
        </w:rPr>
        <w:t>单一来源采购供应商须知</w:t>
      </w:r>
    </w:p>
    <w:bookmarkEnd w:id="37"/>
    <w:bookmarkEnd w:id="38"/>
    <w:bookmarkEnd w:id="39"/>
    <w:bookmarkEnd w:id="40"/>
    <w:bookmarkEnd w:id="41"/>
    <w:p>
      <w:pPr>
        <w:autoSpaceDE w:val="0"/>
        <w:autoSpaceDN w:val="0"/>
        <w:snapToGrid w:val="0"/>
        <w:spacing w:line="520" w:lineRule="exact"/>
        <w:ind w:left="-1" w:firstLine="480" w:firstLineChars="200"/>
        <w:rPr>
          <w:rFonts w:ascii="宋体" w:cs="宋体"/>
          <w:b/>
          <w:bCs/>
          <w:sz w:val="24"/>
          <w:szCs w:val="24"/>
          <w:lang w:val="zh-CN"/>
        </w:rPr>
      </w:pPr>
      <w:bookmarkStart w:id="50" w:name="_Toc20823346"/>
      <w:bookmarkStart w:id="51" w:name="_Hlt16619350"/>
      <w:bookmarkStart w:id="52" w:name="_Toc1660840"/>
      <w:bookmarkStart w:id="53" w:name="_Toc120614244"/>
      <w:bookmarkStart w:id="54" w:name="_Toc16938590"/>
      <w:bookmarkStart w:id="55" w:name="_Toc1660841"/>
      <w:bookmarkStart w:id="56" w:name="_Toc120614281"/>
      <w:bookmarkStart w:id="57" w:name="_Toc479757211"/>
      <w:bookmarkStart w:id="58" w:name="_Toc49090575"/>
      <w:bookmarkStart w:id="59" w:name="_Toc26554093"/>
      <w:bookmarkStart w:id="60" w:name="_Toc462564139"/>
      <w:bookmarkStart w:id="61" w:name="_Toc6322"/>
      <w:r>
        <w:rPr>
          <w:rFonts w:hint="eastAsia" w:ascii="宋体" w:cs="宋体"/>
          <w:bCs/>
          <w:sz w:val="24"/>
          <w:szCs w:val="24"/>
          <w:lang w:val="zh-CN"/>
        </w:rPr>
        <w:t>一、协商供应商代表</w:t>
      </w:r>
      <w:r>
        <w:rPr>
          <w:rFonts w:hint="eastAsia" w:ascii="宋体" w:cs="宋体"/>
          <w:sz w:val="24"/>
          <w:szCs w:val="24"/>
          <w:lang w:val="zh-CN"/>
        </w:rPr>
        <w:t>指全权代表供应商参加采购活动并签署协商响应文件的人，如果协商供应商代表不是法定代表人，须持有《法定代表人授权委托书》。</w:t>
      </w:r>
    </w:p>
    <w:p>
      <w:pPr>
        <w:tabs>
          <w:tab w:val="left" w:pos="540"/>
        </w:tabs>
        <w:snapToGrid w:val="0"/>
        <w:spacing w:line="520" w:lineRule="exact"/>
        <w:ind w:firstLine="480" w:firstLineChars="200"/>
        <w:rPr>
          <w:rFonts w:ascii="宋体" w:cs="宋体"/>
          <w:b/>
          <w:bCs/>
          <w:sz w:val="24"/>
          <w:szCs w:val="24"/>
          <w:lang w:val="zh-CN"/>
        </w:rPr>
      </w:pPr>
      <w:r>
        <w:rPr>
          <w:rFonts w:hint="eastAsia" w:ascii="宋体" w:hAnsi="宋体"/>
          <w:sz w:val="24"/>
          <w:szCs w:val="24"/>
        </w:rPr>
        <w:t>二、协商供应商</w:t>
      </w:r>
      <w:r>
        <w:rPr>
          <w:rFonts w:ascii="宋体" w:hAnsi="宋体"/>
          <w:sz w:val="24"/>
          <w:szCs w:val="24"/>
        </w:rPr>
        <w:t>获取采购文件后，应仔细检查采购文件的所有内容，如有残缺等问题应在</w:t>
      </w:r>
      <w:r>
        <w:rPr>
          <w:rFonts w:hint="eastAsia" w:ascii="宋体" w:hAnsi="宋体"/>
          <w:sz w:val="24"/>
          <w:szCs w:val="24"/>
        </w:rPr>
        <w:t>获取</w:t>
      </w:r>
      <w:r>
        <w:rPr>
          <w:rFonts w:ascii="宋体" w:hAnsi="宋体"/>
          <w:sz w:val="24"/>
          <w:szCs w:val="24"/>
        </w:rPr>
        <w:t>采购文件</w:t>
      </w:r>
      <w:r>
        <w:rPr>
          <w:rFonts w:ascii="宋体" w:hAnsi="宋体"/>
          <w:sz w:val="24"/>
          <w:szCs w:val="24"/>
          <w:u w:val="single"/>
        </w:rPr>
        <w:t>3</w:t>
      </w:r>
      <w:r>
        <w:rPr>
          <w:rFonts w:ascii="宋体" w:hAnsi="宋体"/>
          <w:sz w:val="24"/>
          <w:szCs w:val="24"/>
        </w:rPr>
        <w:t>日内向</w:t>
      </w:r>
      <w:r>
        <w:rPr>
          <w:rFonts w:hint="eastAsia" w:ascii="宋体" w:hAnsi="宋体"/>
          <w:sz w:val="24"/>
          <w:szCs w:val="24"/>
        </w:rPr>
        <w:t>采购人</w:t>
      </w:r>
      <w:r>
        <w:rPr>
          <w:rFonts w:ascii="宋体" w:hAnsi="宋体"/>
          <w:sz w:val="24"/>
          <w:szCs w:val="24"/>
        </w:rPr>
        <w:t>提出，否则，由此</w:t>
      </w:r>
      <w:r>
        <w:rPr>
          <w:rFonts w:hint="eastAsia" w:ascii="宋体" w:hAnsi="宋体"/>
          <w:sz w:val="24"/>
          <w:szCs w:val="24"/>
        </w:rPr>
        <w:t>产生</w:t>
      </w:r>
      <w:r>
        <w:rPr>
          <w:rFonts w:ascii="宋体" w:hAnsi="宋体"/>
          <w:sz w:val="24"/>
          <w:szCs w:val="24"/>
        </w:rPr>
        <w:t>的</w:t>
      </w:r>
      <w:r>
        <w:rPr>
          <w:rFonts w:hint="eastAsia" w:ascii="宋体" w:hAnsi="宋体"/>
          <w:sz w:val="24"/>
          <w:szCs w:val="24"/>
        </w:rPr>
        <w:t>影响</w:t>
      </w:r>
      <w:r>
        <w:rPr>
          <w:rFonts w:ascii="宋体" w:hAnsi="宋体"/>
          <w:sz w:val="24"/>
          <w:szCs w:val="24"/>
        </w:rPr>
        <w:t>由供应商自己承担</w:t>
      </w:r>
      <w:r>
        <w:rPr>
          <w:rFonts w:hint="eastAsia" w:ascii="宋体" w:hAnsi="宋体"/>
          <w:sz w:val="24"/>
          <w:szCs w:val="24"/>
        </w:rPr>
        <w:t>。</w:t>
      </w:r>
    </w:p>
    <w:p>
      <w:pPr>
        <w:autoSpaceDE w:val="0"/>
        <w:autoSpaceDN w:val="0"/>
        <w:snapToGrid w:val="0"/>
        <w:spacing w:line="520" w:lineRule="exact"/>
        <w:ind w:firstLine="480" w:firstLineChars="200"/>
        <w:rPr>
          <w:rFonts w:ascii="宋体" w:cs="宋体"/>
          <w:sz w:val="24"/>
          <w:szCs w:val="24"/>
          <w:lang w:val="zh-CN"/>
        </w:rPr>
      </w:pPr>
      <w:r>
        <w:rPr>
          <w:rFonts w:hint="eastAsia" w:ascii="宋体" w:cs="宋体"/>
          <w:sz w:val="24"/>
          <w:szCs w:val="24"/>
          <w:lang w:val="zh-CN"/>
        </w:rPr>
        <w:t>三、协商供应商应仔细阅读采购文件的所有内容，按采购文件的要求提供响应文件，并保证所提供的全部资料的真实性，以使其对采购文件作实质性响应。否则，其协商响应文件可能被拒绝。无论是否递交响应文件，供应商都应将采购文件及以后的所有通知、文件等视为保密文件。</w:t>
      </w:r>
    </w:p>
    <w:p>
      <w:pPr>
        <w:autoSpaceDE w:val="0"/>
        <w:autoSpaceDN w:val="0"/>
        <w:snapToGrid w:val="0"/>
        <w:spacing w:line="520" w:lineRule="exact"/>
        <w:ind w:left="-1" w:firstLine="480" w:firstLineChars="200"/>
        <w:rPr>
          <w:rFonts w:ascii="宋体" w:cs="宋体"/>
          <w:bCs/>
          <w:sz w:val="24"/>
          <w:szCs w:val="24"/>
          <w:lang w:val="zh-CN"/>
        </w:rPr>
      </w:pPr>
      <w:r>
        <w:rPr>
          <w:rFonts w:hint="eastAsia" w:ascii="宋体" w:cs="宋体"/>
          <w:bCs/>
          <w:sz w:val="24"/>
          <w:szCs w:val="24"/>
          <w:lang w:val="zh-CN"/>
        </w:rPr>
        <w:t>四、协商供应商须按照单一来源采购文件的要求进行响应，响应文件一式三份。响应文件至少包括：营业执照、法定代表人授权书、报价单及有关承诺、说明、单一来源采购文件中要求的相关材料等。报价单及有关承诺、说明须按要求进行盖章签字。</w:t>
      </w:r>
      <w:r>
        <w:rPr>
          <w:rFonts w:hint="eastAsia" w:ascii="宋体" w:hAnsi="宋体"/>
          <w:sz w:val="24"/>
          <w:szCs w:val="24"/>
        </w:rPr>
        <w:t>响应</w:t>
      </w:r>
      <w:r>
        <w:rPr>
          <w:rFonts w:ascii="宋体" w:hAnsi="宋体"/>
          <w:sz w:val="24"/>
          <w:szCs w:val="24"/>
        </w:rPr>
        <w:t>文件中的项目</w:t>
      </w:r>
      <w:r>
        <w:rPr>
          <w:rFonts w:hint="eastAsia" w:ascii="宋体" w:hAnsi="宋体"/>
          <w:sz w:val="24"/>
          <w:szCs w:val="24"/>
        </w:rPr>
        <w:t>方案和</w:t>
      </w:r>
      <w:r>
        <w:rPr>
          <w:rFonts w:ascii="宋体" w:hAnsi="宋体"/>
          <w:sz w:val="24"/>
          <w:szCs w:val="24"/>
        </w:rPr>
        <w:t>报价</w:t>
      </w:r>
      <w:r>
        <w:rPr>
          <w:rFonts w:hint="eastAsia" w:ascii="宋体" w:hAnsi="宋体"/>
          <w:sz w:val="24"/>
          <w:szCs w:val="24"/>
        </w:rPr>
        <w:t>，应标明所提供服务的方案实施计划、人员配备、项目实施时间、培训、售后服务等相关费用。</w:t>
      </w:r>
    </w:p>
    <w:p>
      <w:pPr>
        <w:snapToGrid w:val="0"/>
        <w:spacing w:line="520" w:lineRule="exact"/>
        <w:ind w:firstLine="480" w:firstLineChars="200"/>
        <w:rPr>
          <w:rFonts w:ascii="宋体" w:hAnsi="宋体"/>
          <w:sz w:val="24"/>
          <w:szCs w:val="24"/>
        </w:rPr>
      </w:pPr>
      <w:r>
        <w:rPr>
          <w:rFonts w:hint="eastAsia" w:ascii="宋体" w:hAnsi="宋体"/>
          <w:sz w:val="24"/>
          <w:szCs w:val="24"/>
        </w:rPr>
        <w:t>五、协商程序</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协商活动由采购人代表、供应商代表及有关方面代表参加。</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参加协商的供应商法定代表人或代理人应携带</w:t>
      </w:r>
      <w:r>
        <w:rPr>
          <w:rFonts w:hint="eastAsia" w:ascii="宋体" w:hAnsi="宋体"/>
          <w:b/>
          <w:sz w:val="24"/>
          <w:szCs w:val="24"/>
        </w:rPr>
        <w:t>本人有效身份证件</w:t>
      </w:r>
      <w:r>
        <w:rPr>
          <w:rFonts w:hint="eastAsia" w:ascii="宋体" w:hAnsi="宋体"/>
          <w:sz w:val="24"/>
          <w:szCs w:val="24"/>
        </w:rPr>
        <w:t>签名报到，以证明其出席谈判活动，并在向采购人提交协商响应文件时出示</w:t>
      </w:r>
      <w:r>
        <w:rPr>
          <w:rFonts w:hint="eastAsia" w:ascii="宋体" w:hAnsi="宋体"/>
          <w:b/>
          <w:bCs/>
          <w:sz w:val="24"/>
          <w:szCs w:val="24"/>
        </w:rPr>
        <w:t>，</w:t>
      </w:r>
      <w:r>
        <w:rPr>
          <w:rFonts w:hint="eastAsia" w:ascii="宋体" w:hAnsi="宋体"/>
          <w:sz w:val="24"/>
          <w:szCs w:val="24"/>
        </w:rPr>
        <w:t>否则</w:t>
      </w:r>
      <w:r>
        <w:rPr>
          <w:rFonts w:hint="eastAsia" w:ascii="宋体" w:hAnsi="宋体"/>
          <w:sz w:val="24"/>
          <w:szCs w:val="24"/>
          <w:lang w:eastAsia="zh-CN"/>
        </w:rPr>
        <w:t>采购人</w:t>
      </w:r>
      <w:r>
        <w:rPr>
          <w:rFonts w:hint="eastAsia" w:ascii="宋体" w:hAnsi="宋体"/>
          <w:sz w:val="24"/>
          <w:szCs w:val="24"/>
        </w:rPr>
        <w:t>有权拒绝接受其协商响应文件。</w:t>
      </w:r>
    </w:p>
    <w:p>
      <w:pPr>
        <w:snapToGrid w:val="0"/>
        <w:spacing w:line="520" w:lineRule="exact"/>
        <w:ind w:firstLine="480" w:firstLineChars="200"/>
        <w:rPr>
          <w:rFonts w:ascii="宋体" w:hAnsi="宋体"/>
          <w:sz w:val="24"/>
          <w:szCs w:val="24"/>
        </w:rPr>
      </w:pPr>
      <w:r>
        <w:rPr>
          <w:rFonts w:hint="eastAsia" w:ascii="宋体" w:hAnsi="宋体"/>
          <w:sz w:val="24"/>
          <w:szCs w:val="24"/>
        </w:rPr>
        <w:t>5.3协商小组经过与供应商的商定根据供应商的承诺、响应程度和供应商的最终总报价按协商采购文件规定的成交原则进行综合评定。</w:t>
      </w:r>
    </w:p>
    <w:p>
      <w:pPr>
        <w:snapToGrid w:val="0"/>
        <w:spacing w:line="520" w:lineRule="exact"/>
        <w:ind w:firstLine="480" w:firstLineChars="200"/>
        <w:rPr>
          <w:rFonts w:ascii="宋体" w:hAnsi="宋体"/>
          <w:sz w:val="24"/>
          <w:szCs w:val="24"/>
        </w:rPr>
      </w:pPr>
      <w:r>
        <w:rPr>
          <w:rFonts w:hint="eastAsia" w:ascii="宋体" w:hAnsi="宋体"/>
          <w:sz w:val="24"/>
          <w:szCs w:val="24"/>
        </w:rPr>
        <w:t>六、协商小组由采购单位代表、专家评委组成。协商</w:t>
      </w:r>
      <w:r>
        <w:rPr>
          <w:rFonts w:ascii="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w:t>
      </w:r>
      <w:r>
        <w:rPr>
          <w:rFonts w:hint="eastAsia" w:ascii="宋体" w:hAnsi="宋体"/>
          <w:sz w:val="24"/>
          <w:szCs w:val="24"/>
        </w:rPr>
        <w:t>。</w:t>
      </w:r>
    </w:p>
    <w:p>
      <w:pPr>
        <w:spacing w:line="520" w:lineRule="exact"/>
        <w:ind w:firstLine="480" w:firstLineChars="200"/>
        <w:rPr>
          <w:rFonts w:ascii="宋体" w:hAnsi="宋体"/>
          <w:sz w:val="24"/>
          <w:szCs w:val="24"/>
        </w:rPr>
      </w:pPr>
      <w:r>
        <w:rPr>
          <w:rFonts w:hint="eastAsia" w:ascii="宋体" w:hAnsi="宋体"/>
          <w:sz w:val="24"/>
          <w:szCs w:val="24"/>
        </w:rPr>
        <w:t>七、成交供应商的确定：协商小组将对响应文件进行协商。协商小组将依据法律法规和采购文件的规定,对响应文件进行资格性检查和符合性检查,以确定是否符合参加协商的资格和实质性响应采购文件的要求。协商小组将审查响应文件是否对采购文件做出了实质性响应而没有重大偏离。重大偏离的认定需经过协商小组三分之二及以上成员的认定。除非采购文件中有明确规定，协商小组决定响应文件的响应性只根据其文件本身的内容，而不寻求外部的证据。</w:t>
      </w:r>
    </w:p>
    <w:p>
      <w:pPr>
        <w:spacing w:line="520" w:lineRule="exact"/>
        <w:ind w:firstLine="480" w:firstLineChars="200"/>
        <w:rPr>
          <w:rFonts w:ascii="宋体" w:hAnsi="宋体"/>
          <w:sz w:val="24"/>
          <w:szCs w:val="24"/>
        </w:rPr>
      </w:pPr>
      <w:r>
        <w:rPr>
          <w:rFonts w:hint="eastAsia" w:ascii="宋体" w:hAnsi="宋体"/>
          <w:sz w:val="24"/>
          <w:szCs w:val="24"/>
        </w:rPr>
        <w:t>八、如由于采购需求中对该采购项目要求描述不详细，请供应商在提交响应文件时补充说明，如不作明确说明，评审小组或采购人可认定其所报方案为可能存在情况的最高标准或按有利于使用方的原则确定。</w:t>
      </w:r>
    </w:p>
    <w:p>
      <w:pPr>
        <w:spacing w:line="520" w:lineRule="exact"/>
        <w:ind w:firstLine="480" w:firstLineChars="200"/>
        <w:rPr>
          <w:rFonts w:ascii="宋体" w:hAnsi="宋体"/>
          <w:sz w:val="24"/>
          <w:szCs w:val="24"/>
        </w:rPr>
      </w:pPr>
      <w:r>
        <w:rPr>
          <w:rFonts w:hint="eastAsia" w:ascii="宋体" w:hAnsi="宋体"/>
          <w:sz w:val="24"/>
          <w:szCs w:val="24"/>
        </w:rPr>
        <w:t>九、供应商必须按照采购文件的要求提供有关资信证明文件材料，作为响应文件的一部分，以证明其有资格作为合格的供应商参与协商及有能力履行合同。</w:t>
      </w:r>
    </w:p>
    <w:p>
      <w:pPr>
        <w:snapToGrid w:val="0"/>
        <w:spacing w:line="520" w:lineRule="exact"/>
        <w:ind w:firstLine="480" w:firstLineChars="200"/>
        <w:rPr>
          <w:rFonts w:ascii="宋体" w:hAnsi="宋体"/>
          <w:b/>
          <w:bCs/>
          <w:sz w:val="24"/>
          <w:szCs w:val="24"/>
        </w:rPr>
      </w:pPr>
      <w:r>
        <w:rPr>
          <w:rFonts w:hint="eastAsia" w:ascii="宋体" w:hAnsi="宋体"/>
          <w:sz w:val="24"/>
          <w:szCs w:val="24"/>
        </w:rPr>
        <w:t>十、未尽事宜，按</w:t>
      </w:r>
      <w:r>
        <w:rPr>
          <w:rFonts w:ascii="宋体" w:hAnsi="宋体"/>
          <w:sz w:val="24"/>
          <w:szCs w:val="24"/>
        </w:rPr>
        <w:t>《中华人民共和国政府采购法》</w:t>
      </w:r>
      <w:r>
        <w:rPr>
          <w:rFonts w:hint="eastAsia" w:ascii="宋体" w:hAnsi="宋体"/>
          <w:sz w:val="24"/>
          <w:szCs w:val="24"/>
        </w:rPr>
        <w:t>及其他有关的法律法规的规定执行。</w:t>
      </w: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rPr>
          <w:rFonts w:ascii="宋体" w:hAnsi="宋体"/>
          <w:b/>
          <w:bCs/>
          <w:sz w:val="24"/>
        </w:rPr>
      </w:pPr>
      <w:r>
        <w:rPr>
          <w:rFonts w:hint="eastAsia" w:ascii="宋体" w:hAnsi="宋体"/>
          <w:b/>
          <w:bCs/>
          <w:sz w:val="24"/>
        </w:rPr>
        <w:br w:type="page"/>
      </w:r>
    </w:p>
    <w:p>
      <w:pPr>
        <w:pStyle w:val="3"/>
        <w:spacing w:line="360" w:lineRule="auto"/>
        <w:ind w:firstLine="2200" w:firstLineChars="500"/>
        <w:jc w:val="both"/>
        <w:rPr>
          <w:rFonts w:ascii="黑体" w:hAnsi="黑体" w:eastAsia="黑体"/>
          <w:sz w:val="44"/>
          <w:szCs w:val="44"/>
        </w:rPr>
      </w:pPr>
      <w:r>
        <w:rPr>
          <w:rFonts w:hint="eastAsia" w:ascii="黑体" w:hAnsi="黑体" w:eastAsia="黑体"/>
          <w:sz w:val="44"/>
          <w:szCs w:val="44"/>
        </w:rPr>
        <w:t>第三部分 项目需求</w:t>
      </w:r>
      <w:bookmarkEnd w:id="50"/>
      <w:bookmarkEnd w:id="51"/>
      <w:bookmarkEnd w:id="52"/>
      <w:bookmarkEnd w:id="53"/>
      <w:bookmarkEnd w:id="54"/>
    </w:p>
    <w:bookmarkEnd w:id="55"/>
    <w:bookmarkEnd w:id="56"/>
    <w:bookmarkEnd w:id="57"/>
    <w:bookmarkEnd w:id="58"/>
    <w:bookmarkEnd w:id="59"/>
    <w:bookmarkEnd w:id="60"/>
    <w:bookmarkEnd w:id="61"/>
    <w:p>
      <w:pPr>
        <w:snapToGrid w:val="0"/>
        <w:spacing w:line="360" w:lineRule="auto"/>
        <w:ind w:firstLine="482" w:firstLineChars="200"/>
        <w:rPr>
          <w:rFonts w:ascii="宋体" w:hAnsi="宋体" w:cs="仿宋_GB2312"/>
          <w:sz w:val="24"/>
          <w:szCs w:val="24"/>
        </w:rPr>
      </w:pPr>
      <w:r>
        <w:rPr>
          <w:rFonts w:hint="eastAsia" w:ascii="宋体" w:hAnsi="宋体" w:cs="宋体"/>
          <w:b/>
          <w:sz w:val="24"/>
          <w:szCs w:val="24"/>
        </w:rPr>
        <w:t>一、项目名称：</w:t>
      </w:r>
      <w:r>
        <w:rPr>
          <w:rFonts w:hint="eastAsia" w:ascii="宋体" w:hAnsi="宋体" w:cs="仿宋_GB2312"/>
          <w:sz w:val="24"/>
          <w:szCs w:val="24"/>
        </w:rPr>
        <w:t>江苏省盐城技师学院中华人民共和国第一届职业技能大赛增材制造项目设备</w:t>
      </w:r>
    </w:p>
    <w:p>
      <w:pPr>
        <w:widowControl/>
        <w:spacing w:line="400" w:lineRule="exact"/>
        <w:ind w:firstLine="420" w:firstLineChars="200"/>
        <w:jc w:val="left"/>
        <w:rPr>
          <w:rFonts w:asciiTheme="minorEastAsia" w:hAnsiTheme="minorEastAsia" w:eastAsiaTheme="minorEastAsia"/>
          <w:bCs/>
          <w:kern w:val="0"/>
          <w:szCs w:val="28"/>
        </w:rPr>
      </w:pPr>
      <w:r>
        <w:rPr>
          <w:rFonts w:asciiTheme="minorEastAsia" w:hAnsiTheme="minorEastAsia" w:eastAsiaTheme="minorEastAsia"/>
          <w:bCs/>
          <w:kern w:val="0"/>
          <w:szCs w:val="28"/>
        </w:rPr>
        <w:t>（一）采购清单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737"/>
        <w:gridCol w:w="1581"/>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63"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序号</w:t>
            </w:r>
          </w:p>
        </w:tc>
        <w:tc>
          <w:tcPr>
            <w:tcW w:w="3737"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设备</w:t>
            </w:r>
          </w:p>
        </w:tc>
        <w:tc>
          <w:tcPr>
            <w:tcW w:w="1581"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单位</w:t>
            </w:r>
          </w:p>
        </w:tc>
        <w:tc>
          <w:tcPr>
            <w:tcW w:w="1926"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Align w:val="center"/>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c>
          <w:tcPr>
            <w:tcW w:w="3737" w:type="dxa"/>
            <w:vAlign w:val="center"/>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中华人民共和国第一届职业技能大赛指定增材制造项目集训平台</w:t>
            </w:r>
          </w:p>
        </w:tc>
        <w:tc>
          <w:tcPr>
            <w:tcW w:w="1581" w:type="dxa"/>
            <w:vAlign w:val="center"/>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台</w:t>
            </w:r>
          </w:p>
        </w:tc>
        <w:tc>
          <w:tcPr>
            <w:tcW w:w="1926" w:type="dxa"/>
            <w:vAlign w:val="center"/>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r>
    </w:tbl>
    <w:p>
      <w:pPr>
        <w:widowControl/>
        <w:numPr>
          <w:ilvl w:val="0"/>
          <w:numId w:val="2"/>
        </w:numPr>
        <w:spacing w:line="400" w:lineRule="exact"/>
        <w:ind w:firstLine="420" w:firstLineChars="200"/>
        <w:jc w:val="left"/>
        <w:rPr>
          <w:rFonts w:eastAsiaTheme="minorEastAsia"/>
          <w:bCs/>
          <w:kern w:val="0"/>
          <w:szCs w:val="28"/>
        </w:rPr>
      </w:pPr>
      <w:r>
        <w:rPr>
          <w:rFonts w:eastAsiaTheme="minorEastAsia"/>
          <w:bCs/>
          <w:kern w:val="0"/>
          <w:szCs w:val="28"/>
        </w:rPr>
        <w:t>技术规格参数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268"/>
        <w:gridCol w:w="442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序号</w:t>
            </w:r>
          </w:p>
        </w:tc>
        <w:tc>
          <w:tcPr>
            <w:tcW w:w="2381" w:type="dxa"/>
            <w:gridSpan w:val="2"/>
            <w:vAlign w:val="center"/>
          </w:tcPr>
          <w:p>
            <w:pPr>
              <w:snapToGrid w:val="0"/>
              <w:spacing w:line="360" w:lineRule="auto"/>
              <w:jc w:val="center"/>
              <w:rPr>
                <w:rFonts w:eastAsiaTheme="minorEastAsia"/>
                <w:bCs/>
                <w:kern w:val="0"/>
                <w:szCs w:val="28"/>
              </w:rPr>
            </w:pPr>
            <w:r>
              <w:rPr>
                <w:rFonts w:hint="eastAsia" w:eastAsiaTheme="minorEastAsia"/>
                <w:bCs/>
                <w:kern w:val="0"/>
                <w:szCs w:val="28"/>
              </w:rPr>
              <w:t>设备型号</w:t>
            </w:r>
          </w:p>
        </w:tc>
        <w:tc>
          <w:tcPr>
            <w:tcW w:w="4423" w:type="dxa"/>
            <w:vAlign w:val="center"/>
          </w:tcPr>
          <w:p>
            <w:pPr>
              <w:snapToGrid w:val="0"/>
              <w:spacing w:line="360" w:lineRule="auto"/>
              <w:jc w:val="center"/>
              <w:rPr>
                <w:rFonts w:eastAsiaTheme="minorEastAsia"/>
                <w:bCs/>
                <w:kern w:val="0"/>
                <w:szCs w:val="28"/>
              </w:rPr>
            </w:pPr>
            <w:r>
              <w:rPr>
                <w:rFonts w:eastAsiaTheme="minorEastAsia"/>
                <w:bCs/>
                <w:kern w:val="0"/>
                <w:szCs w:val="28"/>
              </w:rPr>
              <w:t>技术规格参数</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单位</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napToGrid w:val="0"/>
              <w:spacing w:line="360" w:lineRule="auto"/>
              <w:jc w:val="center"/>
              <w:rPr>
                <w:rFonts w:eastAsiaTheme="minorEastAsia"/>
                <w:bCs/>
                <w:kern w:val="0"/>
                <w:szCs w:val="28"/>
              </w:rPr>
            </w:pPr>
            <w:r>
              <w:rPr>
                <w:rFonts w:hint="eastAsia" w:eastAsiaTheme="minorEastAsia"/>
                <w:bCs/>
                <w:kern w:val="0"/>
                <w:szCs w:val="28"/>
              </w:rPr>
              <w:t>1</w:t>
            </w:r>
          </w:p>
        </w:tc>
        <w:tc>
          <w:tcPr>
            <w:tcW w:w="1276" w:type="dxa"/>
            <w:vMerge w:val="restart"/>
            <w:vAlign w:val="center"/>
          </w:tcPr>
          <w:p>
            <w:pPr>
              <w:snapToGrid w:val="0"/>
              <w:spacing w:line="360" w:lineRule="auto"/>
              <w:jc w:val="center"/>
              <w:rPr>
                <w:rFonts w:eastAsiaTheme="minorEastAsia"/>
                <w:bCs/>
                <w:kern w:val="0"/>
                <w:szCs w:val="28"/>
              </w:rPr>
            </w:pPr>
            <w:r>
              <w:rPr>
                <w:rFonts w:hint="eastAsia" w:asciiTheme="minorEastAsia" w:hAnsiTheme="minorEastAsia" w:eastAsiaTheme="minorEastAsia"/>
                <w:bCs/>
                <w:kern w:val="0"/>
                <w:szCs w:val="28"/>
              </w:rPr>
              <w:t>国赛指定增材制造项目集训平台</w:t>
            </w:r>
          </w:p>
        </w:tc>
        <w:tc>
          <w:tcPr>
            <w:tcW w:w="1105"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铂力特BLT-A300+金属三维打印机</w:t>
            </w:r>
          </w:p>
        </w:tc>
        <w:tc>
          <w:tcPr>
            <w:tcW w:w="4423" w:type="dxa"/>
            <w:vAlign w:val="center"/>
          </w:tcPr>
          <w:p>
            <w:pPr>
              <w:snapToGrid w:val="0"/>
              <w:spacing w:line="360" w:lineRule="auto"/>
              <w:jc w:val="left"/>
              <w:rPr>
                <w:rFonts w:eastAsiaTheme="minorEastAsia"/>
                <w:bCs/>
                <w:kern w:val="0"/>
                <w:szCs w:val="28"/>
              </w:rPr>
            </w:pPr>
            <w:r>
              <w:rPr>
                <w:rFonts w:hint="eastAsia" w:eastAsiaTheme="minorEastAsia"/>
                <w:bCs/>
                <w:kern w:val="0"/>
                <w:szCs w:val="28"/>
              </w:rPr>
              <w:t>1.设备成形尺寸：≥250mm×250mm×300mm（长×宽×高）（不包含基材）。</w:t>
            </w:r>
          </w:p>
          <w:p>
            <w:pPr>
              <w:snapToGrid w:val="0"/>
              <w:spacing w:line="360" w:lineRule="auto"/>
              <w:jc w:val="left"/>
              <w:rPr>
                <w:rFonts w:eastAsiaTheme="minorEastAsia"/>
                <w:bCs/>
                <w:kern w:val="0"/>
                <w:szCs w:val="28"/>
              </w:rPr>
            </w:pPr>
            <w:r>
              <w:rPr>
                <w:rFonts w:hint="eastAsia" w:eastAsiaTheme="minorEastAsia"/>
                <w:bCs/>
                <w:kern w:val="0"/>
                <w:szCs w:val="28"/>
              </w:rPr>
              <w:t>2.可打印材料包括不限于以下材料：不锈钢、钛合金、铝合金等金属粉末，至少提供3种以上材料的成熟可编辑工艺参数，提供参数可编辑证明。另外免费提供模具钢材料工艺包。</w:t>
            </w:r>
          </w:p>
          <w:p>
            <w:pPr>
              <w:snapToGrid w:val="0"/>
              <w:spacing w:line="360" w:lineRule="auto"/>
              <w:jc w:val="left"/>
              <w:rPr>
                <w:rFonts w:eastAsiaTheme="minorEastAsia"/>
                <w:bCs/>
                <w:kern w:val="0"/>
                <w:szCs w:val="28"/>
              </w:rPr>
            </w:pPr>
            <w:r>
              <w:rPr>
                <w:rFonts w:hint="eastAsia" w:eastAsiaTheme="minorEastAsia"/>
                <w:bCs/>
                <w:kern w:val="0"/>
                <w:szCs w:val="28"/>
              </w:rPr>
              <w:t>3.设备主机整体结构紧凑、布局合理，外形美观大方，具有良好的操作性和维护性，便于拆卸、安装、调试、维修，设备设计符合ISO 9001体系认证。</w:t>
            </w:r>
          </w:p>
          <w:p>
            <w:pPr>
              <w:snapToGrid w:val="0"/>
              <w:spacing w:line="360" w:lineRule="auto"/>
              <w:jc w:val="left"/>
              <w:rPr>
                <w:rFonts w:eastAsiaTheme="minorEastAsia"/>
                <w:bCs/>
                <w:kern w:val="0"/>
                <w:szCs w:val="28"/>
              </w:rPr>
            </w:pPr>
            <w:r>
              <w:rPr>
                <w:rFonts w:hint="eastAsia" w:eastAsiaTheme="minorEastAsia"/>
                <w:bCs/>
                <w:kern w:val="0"/>
                <w:szCs w:val="28"/>
              </w:rPr>
              <w:t>4.设备工作环境：电源：功率≤6kW，供电电压：AC380V±5%，环境温度15～28℃；相对湿度≤75%的工作环境下24小时长期稳定工作。</w:t>
            </w:r>
          </w:p>
          <w:p>
            <w:pPr>
              <w:snapToGrid w:val="0"/>
              <w:spacing w:line="360" w:lineRule="auto"/>
              <w:jc w:val="left"/>
              <w:rPr>
                <w:rFonts w:eastAsiaTheme="minorEastAsia"/>
                <w:bCs/>
                <w:kern w:val="0"/>
                <w:szCs w:val="28"/>
              </w:rPr>
            </w:pPr>
            <w:r>
              <w:rPr>
                <w:rFonts w:hint="eastAsia" w:eastAsiaTheme="minorEastAsia"/>
                <w:bCs/>
                <w:kern w:val="0"/>
                <w:szCs w:val="28"/>
              </w:rPr>
              <w:t>5.整个主机配备水冷系统，以供激光器和光学系统进行冷却。</w:t>
            </w:r>
          </w:p>
          <w:p>
            <w:pPr>
              <w:snapToGrid w:val="0"/>
              <w:spacing w:line="360" w:lineRule="auto"/>
              <w:jc w:val="left"/>
              <w:rPr>
                <w:rFonts w:eastAsiaTheme="minorEastAsia"/>
                <w:bCs/>
                <w:kern w:val="0"/>
                <w:szCs w:val="28"/>
              </w:rPr>
            </w:pPr>
            <w:r>
              <w:rPr>
                <w:rFonts w:hint="eastAsia" w:eastAsiaTheme="minorEastAsia"/>
                <w:bCs/>
                <w:kern w:val="0"/>
                <w:szCs w:val="28"/>
              </w:rPr>
              <w:t>6.铺粉方式</w:t>
            </w:r>
          </w:p>
          <w:p>
            <w:pPr>
              <w:snapToGrid w:val="0"/>
              <w:spacing w:line="360" w:lineRule="auto"/>
              <w:jc w:val="left"/>
              <w:rPr>
                <w:rFonts w:eastAsiaTheme="minorEastAsia"/>
                <w:bCs/>
                <w:kern w:val="0"/>
                <w:szCs w:val="28"/>
              </w:rPr>
            </w:pPr>
            <w:r>
              <w:rPr>
                <w:rFonts w:hint="eastAsia" w:eastAsiaTheme="minorEastAsia"/>
                <w:bCs/>
                <w:kern w:val="0"/>
                <w:szCs w:val="28"/>
              </w:rPr>
              <w:t>6.1送粉系统稳定可靠，采用底部送粉。</w:t>
            </w:r>
          </w:p>
          <w:p>
            <w:pPr>
              <w:snapToGrid w:val="0"/>
              <w:spacing w:line="360" w:lineRule="auto"/>
              <w:jc w:val="left"/>
              <w:rPr>
                <w:rFonts w:eastAsiaTheme="minorEastAsia"/>
                <w:bCs/>
                <w:kern w:val="0"/>
                <w:szCs w:val="28"/>
              </w:rPr>
            </w:pPr>
            <w:r>
              <w:rPr>
                <w:rFonts w:hint="eastAsia" w:eastAsiaTheme="minorEastAsia"/>
                <w:bCs/>
                <w:kern w:val="0"/>
                <w:szCs w:val="28"/>
              </w:rPr>
              <w:t>6.2铺粉过程采用单向变速铺粉，有效提高铺粉效率；单刮刀高刚度悬臂结构让铺粉更均匀，且不易卡刀。</w:t>
            </w:r>
          </w:p>
          <w:p>
            <w:pPr>
              <w:snapToGrid w:val="0"/>
              <w:spacing w:line="360" w:lineRule="auto"/>
              <w:jc w:val="left"/>
              <w:rPr>
                <w:rFonts w:eastAsiaTheme="minorEastAsia"/>
                <w:bCs/>
                <w:kern w:val="0"/>
                <w:szCs w:val="28"/>
              </w:rPr>
            </w:pPr>
            <w:r>
              <w:rPr>
                <w:rFonts w:hint="eastAsia" w:eastAsiaTheme="minorEastAsia"/>
                <w:bCs/>
                <w:kern w:val="0"/>
                <w:szCs w:val="28"/>
              </w:rPr>
              <w:t>7.分层厚度：20μm-100μm，且层厚范围根据需要可调。</w:t>
            </w:r>
          </w:p>
          <w:p>
            <w:pPr>
              <w:snapToGrid w:val="0"/>
              <w:spacing w:line="360" w:lineRule="auto"/>
              <w:jc w:val="left"/>
              <w:rPr>
                <w:rFonts w:eastAsiaTheme="minorEastAsia"/>
                <w:bCs/>
                <w:kern w:val="0"/>
                <w:szCs w:val="28"/>
              </w:rPr>
            </w:pPr>
            <w:r>
              <w:rPr>
                <w:rFonts w:hint="eastAsia" w:eastAsiaTheme="minorEastAsia"/>
                <w:bCs/>
                <w:kern w:val="0"/>
                <w:szCs w:val="28"/>
              </w:rPr>
              <w:t>8.激光系统：</w:t>
            </w:r>
          </w:p>
          <w:p>
            <w:pPr>
              <w:snapToGrid w:val="0"/>
              <w:spacing w:line="360" w:lineRule="auto"/>
              <w:jc w:val="left"/>
              <w:rPr>
                <w:rFonts w:eastAsiaTheme="minorEastAsia"/>
                <w:bCs/>
                <w:kern w:val="0"/>
                <w:szCs w:val="28"/>
              </w:rPr>
            </w:pPr>
            <w:r>
              <w:rPr>
                <w:rFonts w:hint="eastAsia" w:eastAsiaTheme="minorEastAsia"/>
                <w:bCs/>
                <w:kern w:val="0"/>
                <w:szCs w:val="28"/>
              </w:rPr>
              <w:t>8.1激光器采用知名品牌（行业主流品牌）光纤激光发生器，激光功率：≥ 500W。</w:t>
            </w:r>
          </w:p>
          <w:p>
            <w:pPr>
              <w:snapToGrid w:val="0"/>
              <w:spacing w:line="360" w:lineRule="auto"/>
              <w:jc w:val="left"/>
              <w:rPr>
                <w:rFonts w:eastAsiaTheme="minorEastAsia"/>
                <w:bCs/>
                <w:kern w:val="0"/>
                <w:szCs w:val="28"/>
              </w:rPr>
            </w:pPr>
            <w:r>
              <w:rPr>
                <w:rFonts w:hint="eastAsia" w:eastAsiaTheme="minorEastAsia"/>
                <w:bCs/>
                <w:kern w:val="0"/>
                <w:szCs w:val="28"/>
              </w:rPr>
              <w:t>8.2激光器安全可靠，投标书提供激光器合格出厂检测报告。</w:t>
            </w:r>
          </w:p>
          <w:p>
            <w:pPr>
              <w:snapToGrid w:val="0"/>
              <w:spacing w:line="360" w:lineRule="auto"/>
              <w:jc w:val="left"/>
              <w:rPr>
                <w:rFonts w:eastAsiaTheme="minorEastAsia"/>
                <w:bCs/>
                <w:kern w:val="0"/>
                <w:szCs w:val="28"/>
              </w:rPr>
            </w:pPr>
            <w:r>
              <w:rPr>
                <w:rFonts w:hint="eastAsia" w:eastAsiaTheme="minorEastAsia"/>
                <w:bCs/>
                <w:kern w:val="0"/>
                <w:szCs w:val="28"/>
              </w:rPr>
              <w:t>8.3扫描振镜采用等同或优于SCANBLAB品牌振镜系统，最大扫描速度≥7m/s，振镜须具备超高的重复定位精度及长时间运行稳定性。</w:t>
            </w:r>
          </w:p>
          <w:p>
            <w:pPr>
              <w:snapToGrid w:val="0"/>
              <w:spacing w:line="360" w:lineRule="auto"/>
              <w:jc w:val="left"/>
              <w:rPr>
                <w:rFonts w:eastAsiaTheme="minorEastAsia"/>
                <w:bCs/>
                <w:kern w:val="0"/>
                <w:szCs w:val="28"/>
              </w:rPr>
            </w:pPr>
            <w:r>
              <w:rPr>
                <w:rFonts w:hint="eastAsia" w:eastAsiaTheme="minorEastAsia"/>
                <w:bCs/>
                <w:kern w:val="0"/>
                <w:szCs w:val="28"/>
              </w:rPr>
              <w:t>8.4采用F-theta lens聚焦镜聚焦，镜片为熔融石英材质，可应对加工难熔金属时较大的激光能量密度。</w:t>
            </w:r>
          </w:p>
          <w:p>
            <w:pPr>
              <w:snapToGrid w:val="0"/>
              <w:spacing w:line="360" w:lineRule="auto"/>
              <w:jc w:val="left"/>
              <w:rPr>
                <w:rFonts w:eastAsiaTheme="minorEastAsia"/>
                <w:bCs/>
                <w:kern w:val="0"/>
                <w:szCs w:val="28"/>
              </w:rPr>
            </w:pPr>
            <w:r>
              <w:rPr>
                <w:rFonts w:hint="eastAsia" w:eastAsiaTheme="minorEastAsia"/>
                <w:bCs/>
                <w:kern w:val="0"/>
                <w:szCs w:val="28"/>
              </w:rPr>
              <w:t>8.5具有气体保护镜头功能，能够有效阻止舱室内的粉尘附着在镜头上，保证镜头清洁。</w:t>
            </w:r>
          </w:p>
          <w:p>
            <w:pPr>
              <w:snapToGrid w:val="0"/>
              <w:spacing w:line="360" w:lineRule="auto"/>
              <w:jc w:val="left"/>
              <w:rPr>
                <w:rFonts w:eastAsiaTheme="minorEastAsia"/>
                <w:bCs/>
                <w:kern w:val="0"/>
                <w:szCs w:val="28"/>
              </w:rPr>
            </w:pPr>
            <w:r>
              <w:rPr>
                <w:rFonts w:hint="eastAsia" w:eastAsiaTheme="minorEastAsia"/>
                <w:bCs/>
                <w:kern w:val="0"/>
                <w:szCs w:val="28"/>
              </w:rPr>
              <w:t>9.重复定位精度：≤±5μm。</w:t>
            </w:r>
          </w:p>
          <w:p>
            <w:pPr>
              <w:snapToGrid w:val="0"/>
              <w:spacing w:line="360" w:lineRule="auto"/>
              <w:jc w:val="left"/>
              <w:rPr>
                <w:rFonts w:eastAsiaTheme="minorEastAsia"/>
                <w:bCs/>
                <w:kern w:val="0"/>
                <w:szCs w:val="28"/>
              </w:rPr>
            </w:pPr>
            <w:r>
              <w:rPr>
                <w:rFonts w:hint="eastAsia" w:eastAsiaTheme="minorEastAsia"/>
                <w:bCs/>
                <w:kern w:val="0"/>
                <w:szCs w:val="28"/>
              </w:rPr>
              <w:t>10.成形舱室带有基板预热功能，能在设备打印前对基板预热，加热机板最高预热温度不低于200℃。</w:t>
            </w:r>
          </w:p>
          <w:p>
            <w:pPr>
              <w:snapToGrid w:val="0"/>
              <w:spacing w:line="360" w:lineRule="auto"/>
              <w:jc w:val="left"/>
              <w:rPr>
                <w:rFonts w:eastAsiaTheme="minorEastAsia"/>
                <w:bCs/>
                <w:kern w:val="0"/>
                <w:szCs w:val="28"/>
              </w:rPr>
            </w:pPr>
            <w:r>
              <w:rPr>
                <w:rFonts w:hint="eastAsia" w:eastAsiaTheme="minorEastAsia"/>
                <w:bCs/>
                <w:kern w:val="0"/>
                <w:szCs w:val="28"/>
              </w:rPr>
              <w:t>11.气氛过滤系统</w:t>
            </w:r>
          </w:p>
          <w:p>
            <w:pPr>
              <w:snapToGrid w:val="0"/>
              <w:spacing w:line="360" w:lineRule="auto"/>
              <w:jc w:val="left"/>
              <w:rPr>
                <w:rFonts w:eastAsiaTheme="minorEastAsia"/>
                <w:bCs/>
                <w:kern w:val="0"/>
                <w:szCs w:val="28"/>
              </w:rPr>
            </w:pPr>
            <w:r>
              <w:rPr>
                <w:rFonts w:hint="eastAsia" w:eastAsiaTheme="minorEastAsia"/>
                <w:bCs/>
                <w:kern w:val="0"/>
                <w:szCs w:val="28"/>
              </w:rPr>
              <w:t>11.1支持氩气/氮气循环保护，具有氧含量监测与报警功能，具备良好的气密性可保证环境氧含量低于100ppm，提供设备准备和运行过程中氧含量折线图。</w:t>
            </w:r>
          </w:p>
          <w:p>
            <w:pPr>
              <w:snapToGrid w:val="0"/>
              <w:spacing w:line="360" w:lineRule="auto"/>
              <w:jc w:val="left"/>
              <w:rPr>
                <w:rFonts w:eastAsiaTheme="minorEastAsia"/>
                <w:bCs/>
                <w:kern w:val="0"/>
                <w:szCs w:val="28"/>
              </w:rPr>
            </w:pPr>
            <w:r>
              <w:rPr>
                <w:rFonts w:hint="eastAsia" w:eastAsiaTheme="minorEastAsia"/>
                <w:bCs/>
                <w:kern w:val="0"/>
                <w:szCs w:val="28"/>
              </w:rPr>
              <w:t>11.2可将激光熔融金属粉末产生的烟尘及大颗粒从成形区域迅速分离过滤收集，采用三级过滤方式，烟尘过滤级别不低于H13级，滤芯使用寿命不低于200小时。</w:t>
            </w:r>
          </w:p>
          <w:p>
            <w:pPr>
              <w:snapToGrid w:val="0"/>
              <w:spacing w:line="360" w:lineRule="auto"/>
              <w:jc w:val="left"/>
              <w:rPr>
                <w:rFonts w:eastAsiaTheme="minorEastAsia"/>
                <w:bCs/>
                <w:kern w:val="0"/>
                <w:szCs w:val="28"/>
              </w:rPr>
            </w:pPr>
            <w:r>
              <w:rPr>
                <w:rFonts w:hint="eastAsia" w:eastAsiaTheme="minorEastAsia"/>
                <w:bCs/>
                <w:kern w:val="0"/>
                <w:szCs w:val="28"/>
              </w:rPr>
              <w:t>11.3配备注水循环滤芯箱，能够在取出前进行注水操作，避免过滤器自燃，提供滤芯箱注水口布局图。</w:t>
            </w:r>
          </w:p>
          <w:p>
            <w:pPr>
              <w:snapToGrid w:val="0"/>
              <w:spacing w:line="360" w:lineRule="auto"/>
              <w:jc w:val="left"/>
              <w:rPr>
                <w:rFonts w:eastAsiaTheme="minorEastAsia"/>
                <w:bCs/>
                <w:kern w:val="0"/>
                <w:szCs w:val="28"/>
              </w:rPr>
            </w:pPr>
            <w:r>
              <w:rPr>
                <w:rFonts w:hint="eastAsia" w:eastAsiaTheme="minorEastAsia"/>
                <w:bCs/>
                <w:kern w:val="0"/>
                <w:szCs w:val="28"/>
              </w:rPr>
              <w:t>12.电气控制系统</w:t>
            </w:r>
          </w:p>
          <w:p>
            <w:pPr>
              <w:snapToGrid w:val="0"/>
              <w:spacing w:line="360" w:lineRule="auto"/>
              <w:jc w:val="left"/>
              <w:rPr>
                <w:rFonts w:eastAsiaTheme="minorEastAsia"/>
                <w:bCs/>
                <w:kern w:val="0"/>
                <w:szCs w:val="28"/>
              </w:rPr>
            </w:pPr>
            <w:r>
              <w:rPr>
                <w:rFonts w:hint="eastAsia" w:eastAsiaTheme="minorEastAsia"/>
                <w:bCs/>
                <w:kern w:val="0"/>
                <w:szCs w:val="28"/>
              </w:rPr>
              <w:t>12.1采用国际一流品牌PLC数字控制系统，电气元件采用进口知名品牌，投标书提供设备电气部分使用产品品牌证明。</w:t>
            </w:r>
          </w:p>
          <w:p>
            <w:pPr>
              <w:snapToGrid w:val="0"/>
              <w:spacing w:line="360" w:lineRule="auto"/>
              <w:jc w:val="left"/>
              <w:rPr>
                <w:rFonts w:eastAsiaTheme="minorEastAsia"/>
                <w:bCs/>
                <w:kern w:val="0"/>
                <w:szCs w:val="28"/>
              </w:rPr>
            </w:pPr>
            <w:r>
              <w:rPr>
                <w:rFonts w:hint="eastAsia" w:eastAsiaTheme="minorEastAsia"/>
                <w:bCs/>
                <w:kern w:val="0"/>
                <w:szCs w:val="28"/>
              </w:rPr>
              <w:t>12.2设备伺服驱动器需采用全数字Ethercat总线伺服系统，可以实时采集、传输、监控设备中各个电机每个轴的扭矩、温度等信息，保证生产过程可控，同时根据电机轴的数字量信息对设备进行监控检测和预测维护，实现实时故障检测、分类和预测分析的自适应智能解决方案。</w:t>
            </w:r>
          </w:p>
          <w:p>
            <w:pPr>
              <w:snapToGrid w:val="0"/>
              <w:spacing w:line="360" w:lineRule="auto"/>
              <w:jc w:val="left"/>
              <w:rPr>
                <w:rFonts w:eastAsiaTheme="minorEastAsia"/>
                <w:bCs/>
                <w:kern w:val="0"/>
                <w:szCs w:val="28"/>
              </w:rPr>
            </w:pPr>
            <w:r>
              <w:rPr>
                <w:rFonts w:hint="eastAsia" w:eastAsiaTheme="minorEastAsia"/>
                <w:bCs/>
                <w:kern w:val="0"/>
                <w:szCs w:val="28"/>
              </w:rPr>
              <w:t>12.3机械传动机构配备导轨丝杠，能够最大限度保证设备的机械精度与长时间运行精度的稳定性，驱动机构采用线性直连方式。</w:t>
            </w:r>
          </w:p>
          <w:p>
            <w:pPr>
              <w:snapToGrid w:val="0"/>
              <w:spacing w:line="360" w:lineRule="auto"/>
              <w:jc w:val="left"/>
              <w:rPr>
                <w:rFonts w:eastAsiaTheme="minorEastAsia"/>
                <w:bCs/>
                <w:kern w:val="0"/>
                <w:szCs w:val="28"/>
              </w:rPr>
            </w:pPr>
            <w:r>
              <w:rPr>
                <w:rFonts w:hint="eastAsia" w:eastAsiaTheme="minorEastAsia"/>
                <w:bCs/>
                <w:kern w:val="0"/>
                <w:szCs w:val="28"/>
              </w:rPr>
              <w:t>12.4电气控制系统具备一定的安全系数，采用SIL3安全等级进行安全回路设计，提供设备继电器具备SIL3安全等级原厂说明书。</w:t>
            </w:r>
          </w:p>
          <w:p>
            <w:pPr>
              <w:snapToGrid w:val="0"/>
              <w:spacing w:line="360" w:lineRule="auto"/>
              <w:jc w:val="left"/>
              <w:rPr>
                <w:rFonts w:eastAsiaTheme="minorEastAsia"/>
                <w:bCs/>
                <w:kern w:val="0"/>
                <w:szCs w:val="28"/>
              </w:rPr>
            </w:pPr>
            <w:r>
              <w:rPr>
                <w:rFonts w:hint="eastAsia" w:eastAsiaTheme="minorEastAsia"/>
                <w:bCs/>
                <w:kern w:val="0"/>
                <w:szCs w:val="28"/>
              </w:rPr>
              <w:t>12.5Z轴须配备多圈绝对值编码器，确保断电后不必电机回零，投标书提供多圈绝对值编码器型号原厂上述功能说明书。</w:t>
            </w:r>
          </w:p>
          <w:p>
            <w:pPr>
              <w:snapToGrid w:val="0"/>
              <w:spacing w:line="360" w:lineRule="auto"/>
              <w:jc w:val="left"/>
              <w:rPr>
                <w:rFonts w:eastAsiaTheme="minorEastAsia"/>
                <w:bCs/>
                <w:kern w:val="0"/>
                <w:szCs w:val="28"/>
              </w:rPr>
            </w:pPr>
            <w:r>
              <w:rPr>
                <w:rFonts w:hint="eastAsia" w:eastAsiaTheme="minorEastAsia"/>
                <w:bCs/>
                <w:kern w:val="0"/>
                <w:szCs w:val="28"/>
              </w:rPr>
              <w:t>13.软件系统</w:t>
            </w:r>
          </w:p>
          <w:p>
            <w:pPr>
              <w:snapToGrid w:val="0"/>
              <w:spacing w:line="360" w:lineRule="auto"/>
              <w:jc w:val="left"/>
              <w:rPr>
                <w:rFonts w:eastAsiaTheme="minorEastAsia"/>
                <w:bCs/>
                <w:kern w:val="0"/>
                <w:szCs w:val="28"/>
              </w:rPr>
            </w:pPr>
            <w:r>
              <w:rPr>
                <w:rFonts w:hint="eastAsia" w:eastAsiaTheme="minorEastAsia"/>
                <w:bCs/>
                <w:kern w:val="0"/>
                <w:szCs w:val="28"/>
              </w:rPr>
              <w:t>13.1模型数据处理软件：不少于1个节点的正版商业软件或自主知识产权，能够进行三角面片模型修复、可视化、支撑添加等功能，优先选用市场认可主流Magics或同类型成熟可靠的软件，须提供软件正版授权证明材料。</w:t>
            </w:r>
          </w:p>
          <w:p>
            <w:pPr>
              <w:snapToGrid w:val="0"/>
              <w:spacing w:line="360" w:lineRule="auto"/>
              <w:jc w:val="left"/>
              <w:rPr>
                <w:rFonts w:eastAsiaTheme="minorEastAsia"/>
                <w:bCs/>
                <w:kern w:val="0"/>
                <w:szCs w:val="28"/>
              </w:rPr>
            </w:pPr>
            <w:r>
              <w:rPr>
                <w:rFonts w:hint="eastAsia" w:eastAsiaTheme="minorEastAsia"/>
                <w:bCs/>
                <w:kern w:val="0"/>
                <w:szCs w:val="28"/>
              </w:rPr>
              <w:t>13.2设备控制软件：可依据分层切片结果控制激光器输出激光对金属粉末进行烧结，成形的主要工艺参数可进行调节和记录。打印过程可全自动进行，无需看管，制造商有独立自主知识产权，须提供自主知识产权证明材料。</w:t>
            </w:r>
          </w:p>
          <w:p>
            <w:pPr>
              <w:snapToGrid w:val="0"/>
              <w:spacing w:line="360" w:lineRule="auto"/>
              <w:jc w:val="left"/>
              <w:rPr>
                <w:rFonts w:eastAsiaTheme="minorEastAsia"/>
                <w:bCs/>
                <w:kern w:val="0"/>
                <w:szCs w:val="28"/>
              </w:rPr>
            </w:pPr>
            <w:r>
              <w:rPr>
                <w:rFonts w:hint="eastAsia" w:eastAsiaTheme="minorEastAsia"/>
                <w:bCs/>
                <w:kern w:val="0"/>
                <w:szCs w:val="28"/>
              </w:rPr>
              <w:t>13.3设备机器控制软件需支持OPC UA通讯方式，以便未来进行第三方软件管控与接入，提供设备PLC选型型号具备上述功能原厂说明书。</w:t>
            </w:r>
          </w:p>
          <w:p>
            <w:pPr>
              <w:snapToGrid w:val="0"/>
              <w:spacing w:line="360" w:lineRule="auto"/>
              <w:jc w:val="left"/>
              <w:rPr>
                <w:rFonts w:eastAsiaTheme="minorEastAsia"/>
                <w:bCs/>
                <w:kern w:val="0"/>
                <w:szCs w:val="28"/>
              </w:rPr>
            </w:pPr>
            <w:r>
              <w:rPr>
                <w:rFonts w:hint="eastAsia" w:eastAsiaTheme="minorEastAsia"/>
                <w:bCs/>
                <w:kern w:val="0"/>
                <w:szCs w:val="28"/>
              </w:rPr>
              <w:t>13.4分层切片处理软件：可实现对加工零件进行分层切片处理，工艺路线规划等，生成零件的加工信息后，导入设备控制软件进行加工；可实现同板多零件参数设置功能，具备短向量合并功能；可实现同一层采用不同扫描策略，同一零件变层厚剖分和打印，提供软件上述功能软件截图。</w:t>
            </w:r>
          </w:p>
          <w:p>
            <w:pPr>
              <w:snapToGrid w:val="0"/>
              <w:spacing w:line="360" w:lineRule="auto"/>
              <w:jc w:val="left"/>
              <w:rPr>
                <w:rFonts w:eastAsiaTheme="minorEastAsia"/>
                <w:bCs/>
                <w:kern w:val="0"/>
                <w:szCs w:val="28"/>
              </w:rPr>
            </w:pPr>
            <w:r>
              <w:rPr>
                <w:rFonts w:hint="eastAsia" w:eastAsiaTheme="minorEastAsia"/>
                <w:bCs/>
                <w:kern w:val="0"/>
                <w:szCs w:val="28"/>
              </w:rPr>
              <w:t xml:space="preserve">14.安全系统 </w:t>
            </w:r>
          </w:p>
          <w:p>
            <w:pPr>
              <w:snapToGrid w:val="0"/>
              <w:spacing w:line="360" w:lineRule="auto"/>
              <w:jc w:val="left"/>
              <w:rPr>
                <w:rFonts w:eastAsiaTheme="minorEastAsia"/>
                <w:bCs/>
                <w:kern w:val="0"/>
                <w:szCs w:val="28"/>
              </w:rPr>
            </w:pPr>
            <w:r>
              <w:rPr>
                <w:rFonts w:hint="eastAsia" w:eastAsiaTheme="minorEastAsia"/>
                <w:bCs/>
                <w:kern w:val="0"/>
                <w:szCs w:val="28"/>
              </w:rPr>
              <w:t>14.1设备整机通过TUV、BV等第三方官方ATEX整机防爆认证，证书可在对应认证网站查询官方网站进行查询。</w:t>
            </w:r>
          </w:p>
          <w:p>
            <w:pPr>
              <w:snapToGrid w:val="0"/>
              <w:spacing w:line="360" w:lineRule="auto"/>
              <w:jc w:val="left"/>
              <w:rPr>
                <w:rFonts w:eastAsiaTheme="minorEastAsia"/>
                <w:bCs/>
                <w:kern w:val="0"/>
                <w:szCs w:val="28"/>
              </w:rPr>
            </w:pPr>
            <w:r>
              <w:rPr>
                <w:rFonts w:hint="eastAsia" w:eastAsiaTheme="minorEastAsia"/>
                <w:bCs/>
                <w:kern w:val="0"/>
                <w:szCs w:val="28"/>
              </w:rPr>
              <w:t>14.2设备通过CE认证。</w:t>
            </w:r>
          </w:p>
          <w:p>
            <w:pPr>
              <w:snapToGrid w:val="0"/>
              <w:spacing w:line="360" w:lineRule="auto"/>
              <w:jc w:val="left"/>
              <w:rPr>
                <w:rFonts w:eastAsiaTheme="minorEastAsia"/>
                <w:bCs/>
                <w:kern w:val="0"/>
                <w:szCs w:val="28"/>
              </w:rPr>
            </w:pPr>
            <w:r>
              <w:rPr>
                <w:rFonts w:hint="eastAsia" w:eastAsiaTheme="minorEastAsia"/>
                <w:bCs/>
                <w:kern w:val="0"/>
                <w:szCs w:val="28"/>
              </w:rPr>
              <w:t>14.3具备安全联锁机构，确保正常运行时成形室门无法打开，激光器使用过程中锁定成形室门，避免意外伤害，提供设备安全回路设计网络拓扑图。</w:t>
            </w:r>
          </w:p>
          <w:p>
            <w:pPr>
              <w:snapToGrid w:val="0"/>
              <w:spacing w:line="360" w:lineRule="auto"/>
              <w:jc w:val="left"/>
              <w:rPr>
                <w:rFonts w:eastAsiaTheme="minorEastAsia"/>
                <w:bCs/>
                <w:kern w:val="0"/>
                <w:szCs w:val="28"/>
              </w:rPr>
            </w:pPr>
            <w:r>
              <w:rPr>
                <w:rFonts w:hint="eastAsia" w:eastAsiaTheme="minorEastAsia"/>
                <w:bCs/>
                <w:kern w:val="0"/>
                <w:szCs w:val="28"/>
              </w:rPr>
              <w:t>14.4具备激光安全防护窗，其激光安全防护衰减系数≥OD5+，须提供激光衰减系数检测报告，设备激光防护通过FDA激光安全注册。</w:t>
            </w:r>
          </w:p>
          <w:p>
            <w:pPr>
              <w:snapToGrid w:val="0"/>
              <w:spacing w:line="360" w:lineRule="auto"/>
              <w:jc w:val="left"/>
              <w:rPr>
                <w:rFonts w:eastAsiaTheme="minorEastAsia"/>
                <w:bCs/>
                <w:kern w:val="0"/>
                <w:szCs w:val="28"/>
              </w:rPr>
            </w:pPr>
            <w:r>
              <w:rPr>
                <w:rFonts w:hint="eastAsia" w:eastAsiaTheme="minorEastAsia"/>
                <w:bCs/>
                <w:kern w:val="0"/>
                <w:szCs w:val="28"/>
              </w:rPr>
              <w:t>14.5具备急停按钮，按下后激光器立即停止运行。</w:t>
            </w:r>
          </w:p>
          <w:p>
            <w:pPr>
              <w:snapToGrid w:val="0"/>
              <w:spacing w:line="360" w:lineRule="auto"/>
              <w:jc w:val="left"/>
              <w:rPr>
                <w:rFonts w:eastAsiaTheme="minorEastAsia"/>
                <w:bCs/>
                <w:kern w:val="0"/>
                <w:szCs w:val="28"/>
              </w:rPr>
            </w:pPr>
            <w:r>
              <w:rPr>
                <w:rFonts w:hint="eastAsia" w:eastAsiaTheme="minorEastAsia"/>
                <w:bCs/>
                <w:kern w:val="0"/>
                <w:szCs w:val="28"/>
              </w:rPr>
              <w:t>14.6在遇到突然停电或其他意外事故时运行数据不丢失、来电衔接运行的能力，设备具备自诊断以及故障自动报警功能。</w:t>
            </w:r>
          </w:p>
          <w:p>
            <w:pPr>
              <w:snapToGrid w:val="0"/>
              <w:spacing w:line="360" w:lineRule="auto"/>
              <w:jc w:val="left"/>
              <w:rPr>
                <w:rFonts w:eastAsiaTheme="minorEastAsia"/>
                <w:bCs/>
                <w:kern w:val="0"/>
                <w:szCs w:val="28"/>
              </w:rPr>
            </w:pPr>
            <w:r>
              <w:rPr>
                <w:rFonts w:hint="eastAsia" w:eastAsiaTheme="minorEastAsia"/>
                <w:bCs/>
                <w:kern w:val="0"/>
                <w:szCs w:val="28"/>
              </w:rPr>
              <w:t>15.质量监控：设备配备实时监测系统，包含工业相机、压力传感器、温度传感器、差压计、高精度氧传感器、多圈绝对值编码器、质量追溯软件、数据库软件。监测至少包含氧含量、铺粉状态、加工层数、加工时间，成型室压力，温度等数据，且数据可以收集，生成工作报表。</w:t>
            </w:r>
          </w:p>
          <w:p>
            <w:pPr>
              <w:snapToGrid w:val="0"/>
              <w:spacing w:line="360" w:lineRule="auto"/>
              <w:jc w:val="left"/>
              <w:rPr>
                <w:rFonts w:eastAsiaTheme="minorEastAsia"/>
                <w:bCs/>
                <w:kern w:val="0"/>
                <w:szCs w:val="28"/>
              </w:rPr>
            </w:pPr>
            <w:r>
              <w:rPr>
                <w:rFonts w:hint="eastAsia" w:eastAsiaTheme="minorEastAsia"/>
                <w:bCs/>
                <w:kern w:val="0"/>
                <w:szCs w:val="28"/>
              </w:rPr>
              <w:t>15.1刮刀运行状态监控功能，能够以500点/秒速度对刮刀运行过程中的扭矩进行监控，并对异常情况进行记录与报警，提供控制软件刮刀扭矩监测曲线图。</w:t>
            </w:r>
          </w:p>
          <w:p>
            <w:pPr>
              <w:snapToGrid w:val="0"/>
              <w:spacing w:line="360" w:lineRule="auto"/>
              <w:jc w:val="left"/>
              <w:rPr>
                <w:rFonts w:eastAsiaTheme="minorEastAsia"/>
                <w:bCs/>
                <w:kern w:val="0"/>
                <w:szCs w:val="28"/>
              </w:rPr>
            </w:pPr>
            <w:r>
              <w:rPr>
                <w:rFonts w:hint="eastAsia" w:eastAsiaTheme="minorEastAsia"/>
                <w:bCs/>
                <w:kern w:val="0"/>
                <w:szCs w:val="28"/>
              </w:rPr>
              <w:t>15.2可实现在线图像采集功能，利用工业照相机对每一层打印状况进行监测和记录，可实现模具嫁接功能。</w:t>
            </w:r>
          </w:p>
          <w:p>
            <w:pPr>
              <w:snapToGrid w:val="0"/>
              <w:spacing w:line="360" w:lineRule="auto"/>
              <w:jc w:val="left"/>
              <w:rPr>
                <w:rFonts w:eastAsiaTheme="minorEastAsia"/>
                <w:bCs/>
                <w:kern w:val="0"/>
                <w:szCs w:val="28"/>
              </w:rPr>
            </w:pPr>
            <w:r>
              <w:rPr>
                <w:rFonts w:hint="eastAsia" w:eastAsiaTheme="minorEastAsia"/>
                <w:bCs/>
                <w:kern w:val="0"/>
                <w:szCs w:val="28"/>
              </w:rPr>
              <w:t>15.3配备氧含量检测装置，仓内氧含量可被监控，过程中氧含量达到非正常水平时，具备自动报警功能。</w:t>
            </w:r>
          </w:p>
          <w:p>
            <w:pPr>
              <w:snapToGrid w:val="0"/>
              <w:spacing w:line="360" w:lineRule="auto"/>
              <w:jc w:val="left"/>
              <w:rPr>
                <w:rFonts w:eastAsiaTheme="minorEastAsia"/>
                <w:bCs/>
                <w:kern w:val="0"/>
                <w:szCs w:val="28"/>
              </w:rPr>
            </w:pPr>
            <w:r>
              <w:rPr>
                <w:rFonts w:hint="eastAsia" w:eastAsiaTheme="minorEastAsia"/>
                <w:bCs/>
                <w:kern w:val="0"/>
                <w:szCs w:val="28"/>
              </w:rPr>
              <w:t>15.4设备自身集成外部氧含量监测功能，避免密闭环境氩气扩散不畅造成窒息，提供设备集成外部氧传感器集成设备照片证明。</w:t>
            </w:r>
          </w:p>
          <w:p>
            <w:pPr>
              <w:snapToGrid w:val="0"/>
              <w:spacing w:line="360" w:lineRule="auto"/>
              <w:jc w:val="left"/>
              <w:rPr>
                <w:rFonts w:eastAsiaTheme="minorEastAsia"/>
                <w:bCs/>
                <w:kern w:val="0"/>
                <w:szCs w:val="28"/>
              </w:rPr>
            </w:pPr>
            <w:r>
              <w:rPr>
                <w:rFonts w:hint="eastAsia" w:eastAsiaTheme="minorEastAsia"/>
                <w:bCs/>
                <w:kern w:val="0"/>
                <w:szCs w:val="28"/>
              </w:rPr>
              <w:t>15.5设备具备三维重现功能，将打印过程中的每层扫描拍照图叠加在一起，组成一个三维模型，标识打印过程中的缺陷，做到实时过程监控；提供视频演示功能。</w:t>
            </w:r>
          </w:p>
          <w:p>
            <w:pPr>
              <w:snapToGrid w:val="0"/>
              <w:spacing w:line="360" w:lineRule="auto"/>
              <w:jc w:val="left"/>
              <w:rPr>
                <w:rFonts w:eastAsiaTheme="minorEastAsia"/>
                <w:bCs/>
                <w:kern w:val="0"/>
                <w:szCs w:val="28"/>
              </w:rPr>
            </w:pPr>
            <w:r>
              <w:rPr>
                <w:rFonts w:hint="eastAsia" w:eastAsiaTheme="minorEastAsia"/>
                <w:bCs/>
                <w:kern w:val="0"/>
                <w:szCs w:val="28"/>
              </w:rPr>
              <w:t>15.6设备具备铺粉质量监控，系统配置了高清相机，结合数字图像处理技术对铺粉图进行图像处理，评估铺粉效果。</w:t>
            </w:r>
          </w:p>
          <w:p>
            <w:pPr>
              <w:snapToGrid w:val="0"/>
              <w:spacing w:line="360" w:lineRule="auto"/>
              <w:jc w:val="left"/>
              <w:rPr>
                <w:rFonts w:eastAsiaTheme="minorEastAsia"/>
                <w:bCs/>
                <w:kern w:val="0"/>
                <w:szCs w:val="28"/>
              </w:rPr>
            </w:pPr>
            <w:r>
              <w:rPr>
                <w:rFonts w:hint="eastAsia" w:eastAsiaTheme="minorEastAsia"/>
                <w:bCs/>
                <w:kern w:val="0"/>
                <w:szCs w:val="28"/>
              </w:rPr>
              <w:t>16.辅助设备要求</w:t>
            </w:r>
          </w:p>
          <w:p>
            <w:pPr>
              <w:snapToGrid w:val="0"/>
              <w:spacing w:line="360" w:lineRule="auto"/>
              <w:jc w:val="left"/>
              <w:rPr>
                <w:rFonts w:eastAsiaTheme="minorEastAsia"/>
                <w:bCs/>
                <w:kern w:val="0"/>
                <w:szCs w:val="28"/>
              </w:rPr>
            </w:pPr>
            <w:r>
              <w:rPr>
                <w:rFonts w:hint="eastAsia" w:eastAsiaTheme="minorEastAsia"/>
                <w:bCs/>
                <w:kern w:val="0"/>
                <w:szCs w:val="28"/>
              </w:rPr>
              <w:t>应包含以下配置：防爆工业吸尘器1台，最高真空度≥2100(mmH2O)，噪音≤77±2dB(A)，过滤面积（㎡）≥2.2，前置水箱容积（L）≥100。粉末干燥箱1台， 内容积≥52L，真空度＜133PA。防爆筛粉机1台：筛网尺寸≥400mm，316不锈钢材质过滤网，全自动惰性气体保护系统，超声功率50W； 稳压电源：20KV静态电子补偿式稳压电源1台；微油空压机1台：额定工作压力0.7Mpa，公称容积流量≥1.75m³/min，驱动电机功率≥11kW。冷干机1台，空气处理量≥2.0(Nm3/min)。</w:t>
            </w:r>
          </w:p>
          <w:p>
            <w:pPr>
              <w:snapToGrid w:val="0"/>
              <w:spacing w:line="360" w:lineRule="auto"/>
              <w:jc w:val="left"/>
              <w:rPr>
                <w:rFonts w:eastAsiaTheme="minorEastAsia"/>
                <w:bCs/>
                <w:kern w:val="0"/>
                <w:szCs w:val="28"/>
              </w:rPr>
            </w:pPr>
            <w:r>
              <w:rPr>
                <w:rFonts w:hint="eastAsia" w:eastAsiaTheme="minorEastAsia"/>
                <w:bCs/>
                <w:kern w:val="0"/>
                <w:szCs w:val="28"/>
              </w:rPr>
              <w:t>17.随机耗材</w:t>
            </w:r>
          </w:p>
          <w:p>
            <w:pPr>
              <w:snapToGrid w:val="0"/>
              <w:spacing w:line="360" w:lineRule="auto"/>
              <w:jc w:val="left"/>
              <w:rPr>
                <w:rFonts w:eastAsiaTheme="minorEastAsia"/>
                <w:bCs/>
                <w:kern w:val="0"/>
                <w:szCs w:val="28"/>
              </w:rPr>
            </w:pPr>
            <w:r>
              <w:rPr>
                <w:rFonts w:hint="eastAsia" w:eastAsiaTheme="minorEastAsia"/>
                <w:bCs/>
                <w:kern w:val="0"/>
                <w:szCs w:val="28"/>
              </w:rPr>
              <w:t>随设备需配置20KG铝合金SLM打印用粉末，2个铝合金基板。</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1</w:t>
            </w:r>
            <w:r>
              <w:rPr>
                <w:rFonts w:ascii="Times New Roman" w:hAnsi="Times New Roman" w:cs="Times New Roman" w:eastAsiaTheme="minorEastAsia"/>
                <w:bCs/>
                <w:kern w:val="0"/>
                <w:szCs w:val="28"/>
              </w:rPr>
              <w:t>8.</w:t>
            </w:r>
            <w:r>
              <w:rPr>
                <w:rFonts w:hint="eastAsia" w:ascii="Times New Roman" w:hAnsi="Times New Roman" w:cs="Times New Roman" w:eastAsiaTheme="minorEastAsia"/>
                <w:bCs/>
                <w:kern w:val="0"/>
                <w:szCs w:val="28"/>
              </w:rPr>
              <w:t>其他</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签订销售合同时间起，厂方提供一年免费保修，终身保修。我校移机时，提供免费上门服务和指导，并提供免费培训。一年免费保修结束时，免费上门整机保养一次。免费提供在线调平等保养。</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套</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spacing w:line="360" w:lineRule="auto"/>
              <w:jc w:val="center"/>
              <w:rPr>
                <w:rFonts w:eastAsiaTheme="minorEastAsia"/>
                <w:bCs/>
                <w:kern w:val="0"/>
                <w:szCs w:val="28"/>
              </w:rPr>
            </w:pPr>
          </w:p>
        </w:tc>
        <w:tc>
          <w:tcPr>
            <w:tcW w:w="1276" w:type="dxa"/>
            <w:vMerge w:val="continue"/>
            <w:vAlign w:val="center"/>
          </w:tcPr>
          <w:p>
            <w:pPr>
              <w:snapToGrid w:val="0"/>
              <w:spacing w:line="360" w:lineRule="auto"/>
              <w:jc w:val="center"/>
              <w:rPr>
                <w:rFonts w:eastAsiaTheme="minorEastAsia"/>
                <w:bCs/>
                <w:kern w:val="0"/>
                <w:szCs w:val="28"/>
              </w:rPr>
            </w:pPr>
          </w:p>
        </w:tc>
        <w:tc>
          <w:tcPr>
            <w:tcW w:w="1105"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蔡司ATOS Q 三维光学扫描仪</w:t>
            </w:r>
          </w:p>
        </w:tc>
        <w:tc>
          <w:tcPr>
            <w:tcW w:w="4423" w:type="dxa"/>
            <w:vAlign w:val="center"/>
          </w:tcPr>
          <w:p>
            <w:pPr>
              <w:snapToGrid w:val="0"/>
              <w:spacing w:line="360" w:lineRule="auto"/>
              <w:jc w:val="left"/>
              <w:rPr>
                <w:rFonts w:eastAsiaTheme="minorEastAsia"/>
                <w:bCs/>
                <w:kern w:val="0"/>
                <w:szCs w:val="28"/>
              </w:rPr>
            </w:pPr>
            <w:r>
              <w:rPr>
                <w:rFonts w:hint="eastAsia" w:eastAsiaTheme="minorEastAsia"/>
                <w:bCs/>
                <w:kern w:val="0"/>
                <w:szCs w:val="28"/>
              </w:rPr>
              <w:t>1．设备的设计制造应符合ISO国际标准，设备整机和附件均为进口原装，无第三方国内采购零件或附件。</w:t>
            </w:r>
          </w:p>
          <w:p>
            <w:pPr>
              <w:snapToGrid w:val="0"/>
              <w:spacing w:line="360" w:lineRule="auto"/>
              <w:jc w:val="left"/>
              <w:rPr>
                <w:rFonts w:eastAsiaTheme="minorEastAsia"/>
                <w:bCs/>
                <w:kern w:val="0"/>
                <w:szCs w:val="28"/>
              </w:rPr>
            </w:pPr>
            <w:r>
              <w:rPr>
                <w:rFonts w:hint="eastAsia" w:eastAsiaTheme="minorEastAsia"/>
                <w:bCs/>
                <w:kern w:val="0"/>
                <w:szCs w:val="28"/>
              </w:rPr>
              <w:t>2．技术要求及主要规格参数</w:t>
            </w:r>
          </w:p>
          <w:p>
            <w:pPr>
              <w:snapToGrid w:val="0"/>
              <w:spacing w:line="360" w:lineRule="auto"/>
              <w:jc w:val="left"/>
              <w:rPr>
                <w:rFonts w:eastAsiaTheme="minorEastAsia"/>
                <w:bCs/>
                <w:kern w:val="0"/>
                <w:szCs w:val="28"/>
              </w:rPr>
            </w:pPr>
            <w:r>
              <w:rPr>
                <w:rFonts w:hint="eastAsia" w:eastAsiaTheme="minorEastAsia"/>
                <w:bCs/>
                <w:kern w:val="0"/>
                <w:szCs w:val="28"/>
              </w:rPr>
              <w:t>2.1设备由非接触光学拍照式三维扫描系统,采用对称双CCD相机结构，含计算机系统、软件系统、转台、三角支架、校准板、控制器等组成。</w:t>
            </w:r>
          </w:p>
          <w:p>
            <w:pPr>
              <w:snapToGrid w:val="0"/>
              <w:spacing w:line="360" w:lineRule="auto"/>
              <w:jc w:val="left"/>
              <w:rPr>
                <w:rFonts w:eastAsiaTheme="minorEastAsia"/>
                <w:bCs/>
                <w:kern w:val="0"/>
                <w:szCs w:val="28"/>
              </w:rPr>
            </w:pPr>
            <w:r>
              <w:rPr>
                <w:rFonts w:hint="eastAsia" w:eastAsiaTheme="minorEastAsia"/>
                <w:bCs/>
                <w:kern w:val="0"/>
                <w:szCs w:val="28"/>
              </w:rPr>
              <w:t>2.2扫描头由左右两个对称高分辨率CCD相机和投影光栅单元组成，采用光测量方式，利用光栅投影单元将一组具有相位信息的光栅条纹投影到测量工件表面，左右两个高分辨率相机进行同步测量，利用立体相机测量的原理，迅速获得物体表面高密度的三维数据，保证每一个相机全部有效像素都可以转化成独立的三维点云。利用参考点拼接技术，将不同位置和角度的测量数据自动对齐，以获得完整三维扫描结果。扫描结果通过专用软件与数模快速的完成各种工件、工装尺寸检测与尺寸评判。</w:t>
            </w:r>
          </w:p>
          <w:p>
            <w:pPr>
              <w:snapToGrid w:val="0"/>
              <w:spacing w:line="360" w:lineRule="auto"/>
              <w:jc w:val="left"/>
              <w:rPr>
                <w:rFonts w:eastAsiaTheme="minorEastAsia"/>
                <w:bCs/>
                <w:kern w:val="0"/>
                <w:szCs w:val="28"/>
              </w:rPr>
            </w:pPr>
            <w:r>
              <w:rPr>
                <w:rFonts w:hint="eastAsia" w:eastAsiaTheme="minorEastAsia"/>
                <w:bCs/>
                <w:kern w:val="0"/>
                <w:szCs w:val="28"/>
              </w:rPr>
              <w:t>2.3工作环境</w:t>
            </w:r>
          </w:p>
          <w:p>
            <w:pPr>
              <w:snapToGrid w:val="0"/>
              <w:spacing w:line="360" w:lineRule="auto"/>
              <w:jc w:val="left"/>
              <w:rPr>
                <w:rFonts w:eastAsiaTheme="minorEastAsia"/>
                <w:bCs/>
                <w:kern w:val="0"/>
                <w:szCs w:val="28"/>
              </w:rPr>
            </w:pPr>
            <w:r>
              <w:rPr>
                <w:rFonts w:hint="eastAsia" w:eastAsiaTheme="minorEastAsia"/>
                <w:bCs/>
                <w:kern w:val="0"/>
                <w:szCs w:val="28"/>
              </w:rPr>
              <w:t>设备满足以下环境长期稳定地工作。</w:t>
            </w:r>
          </w:p>
          <w:p>
            <w:pPr>
              <w:snapToGrid w:val="0"/>
              <w:spacing w:line="360" w:lineRule="auto"/>
              <w:jc w:val="left"/>
              <w:rPr>
                <w:rFonts w:eastAsiaTheme="minorEastAsia"/>
                <w:bCs/>
                <w:kern w:val="0"/>
                <w:szCs w:val="28"/>
              </w:rPr>
            </w:pPr>
            <w:r>
              <w:rPr>
                <w:rFonts w:hint="eastAsia" w:eastAsiaTheme="minorEastAsia"/>
                <w:bCs/>
                <w:kern w:val="0"/>
                <w:szCs w:val="28"/>
              </w:rPr>
              <w:t>1）工作环境：</w:t>
            </w:r>
          </w:p>
          <w:p>
            <w:pPr>
              <w:snapToGrid w:val="0"/>
              <w:spacing w:line="360" w:lineRule="auto"/>
              <w:jc w:val="left"/>
              <w:rPr>
                <w:rFonts w:eastAsiaTheme="minorEastAsia"/>
                <w:bCs/>
                <w:kern w:val="0"/>
                <w:szCs w:val="28"/>
              </w:rPr>
            </w:pPr>
            <w:r>
              <w:rPr>
                <w:rFonts w:hint="eastAsia" w:eastAsiaTheme="minorEastAsia"/>
                <w:bCs/>
                <w:kern w:val="0"/>
                <w:szCs w:val="28"/>
              </w:rPr>
              <w:t>环境温度：5℃—40℃</w:t>
            </w:r>
          </w:p>
          <w:p>
            <w:pPr>
              <w:snapToGrid w:val="0"/>
              <w:spacing w:line="360" w:lineRule="auto"/>
              <w:jc w:val="left"/>
              <w:rPr>
                <w:rFonts w:eastAsiaTheme="minorEastAsia"/>
                <w:bCs/>
                <w:kern w:val="0"/>
                <w:szCs w:val="28"/>
              </w:rPr>
            </w:pPr>
            <w:r>
              <w:rPr>
                <w:rFonts w:hint="eastAsia" w:eastAsiaTheme="minorEastAsia"/>
                <w:bCs/>
                <w:kern w:val="0"/>
                <w:szCs w:val="28"/>
              </w:rPr>
              <w:t>温度变化最大值：11℃/h</w:t>
            </w:r>
          </w:p>
          <w:p>
            <w:pPr>
              <w:snapToGrid w:val="0"/>
              <w:spacing w:line="360" w:lineRule="auto"/>
              <w:jc w:val="left"/>
              <w:rPr>
                <w:rFonts w:eastAsiaTheme="minorEastAsia"/>
                <w:bCs/>
                <w:kern w:val="0"/>
                <w:szCs w:val="28"/>
              </w:rPr>
            </w:pPr>
            <w:r>
              <w:rPr>
                <w:rFonts w:hint="eastAsia" w:eastAsiaTheme="minorEastAsia"/>
                <w:bCs/>
                <w:kern w:val="0"/>
                <w:szCs w:val="28"/>
              </w:rPr>
              <w:t>光照强度：0.1万～1万lx（LUX）（相当于没有太阳的室外）</w:t>
            </w:r>
          </w:p>
          <w:p>
            <w:pPr>
              <w:snapToGrid w:val="0"/>
              <w:spacing w:line="360" w:lineRule="auto"/>
              <w:jc w:val="left"/>
              <w:rPr>
                <w:rFonts w:eastAsiaTheme="minorEastAsia"/>
                <w:bCs/>
                <w:kern w:val="0"/>
                <w:szCs w:val="28"/>
              </w:rPr>
            </w:pPr>
            <w:r>
              <w:rPr>
                <w:rFonts w:hint="eastAsia" w:eastAsiaTheme="minorEastAsia"/>
                <w:bCs/>
                <w:kern w:val="0"/>
                <w:szCs w:val="28"/>
              </w:rPr>
              <w:t>相对湿度：10%—95%(无冷凝)</w:t>
            </w:r>
          </w:p>
          <w:p>
            <w:pPr>
              <w:snapToGrid w:val="0"/>
              <w:spacing w:line="360" w:lineRule="auto"/>
              <w:jc w:val="left"/>
              <w:rPr>
                <w:rFonts w:eastAsiaTheme="minorEastAsia"/>
                <w:bCs/>
                <w:kern w:val="0"/>
                <w:szCs w:val="28"/>
              </w:rPr>
            </w:pPr>
            <w:r>
              <w:rPr>
                <w:rFonts w:hint="eastAsia" w:eastAsiaTheme="minorEastAsia"/>
                <w:bCs/>
                <w:kern w:val="0"/>
                <w:szCs w:val="28"/>
              </w:rPr>
              <w:t>2）供电系统：</w:t>
            </w:r>
          </w:p>
          <w:p>
            <w:pPr>
              <w:snapToGrid w:val="0"/>
              <w:spacing w:line="360" w:lineRule="auto"/>
              <w:jc w:val="left"/>
              <w:rPr>
                <w:rFonts w:eastAsiaTheme="minorEastAsia"/>
                <w:bCs/>
                <w:kern w:val="0"/>
                <w:szCs w:val="28"/>
              </w:rPr>
            </w:pPr>
            <w:r>
              <w:rPr>
                <w:rFonts w:hint="eastAsia" w:eastAsiaTheme="minorEastAsia"/>
                <w:bCs/>
                <w:kern w:val="0"/>
                <w:szCs w:val="28"/>
              </w:rPr>
              <w:t>电压: 220V±10%，单相</w:t>
            </w:r>
          </w:p>
          <w:p>
            <w:pPr>
              <w:snapToGrid w:val="0"/>
              <w:spacing w:line="360" w:lineRule="auto"/>
              <w:jc w:val="left"/>
              <w:rPr>
                <w:rFonts w:eastAsiaTheme="minorEastAsia"/>
                <w:bCs/>
                <w:kern w:val="0"/>
                <w:szCs w:val="28"/>
              </w:rPr>
            </w:pPr>
            <w:r>
              <w:rPr>
                <w:rFonts w:hint="eastAsia" w:eastAsiaTheme="minorEastAsia"/>
                <w:bCs/>
                <w:kern w:val="0"/>
                <w:szCs w:val="28"/>
              </w:rPr>
              <w:t>频率: 50 Hz ±2%</w:t>
            </w:r>
          </w:p>
          <w:p>
            <w:pPr>
              <w:snapToGrid w:val="0"/>
              <w:spacing w:line="360" w:lineRule="auto"/>
              <w:jc w:val="left"/>
              <w:rPr>
                <w:rFonts w:eastAsiaTheme="minorEastAsia"/>
                <w:bCs/>
                <w:kern w:val="0"/>
                <w:szCs w:val="28"/>
              </w:rPr>
            </w:pPr>
            <w:r>
              <w:rPr>
                <w:rFonts w:hint="eastAsia" w:eastAsiaTheme="minorEastAsia"/>
                <w:bCs/>
                <w:kern w:val="0"/>
                <w:szCs w:val="28"/>
              </w:rPr>
              <w:t>用电设备要求接地可靠</w:t>
            </w:r>
          </w:p>
          <w:p>
            <w:pPr>
              <w:snapToGrid w:val="0"/>
              <w:spacing w:line="360" w:lineRule="auto"/>
              <w:jc w:val="left"/>
              <w:rPr>
                <w:rFonts w:eastAsiaTheme="minorEastAsia"/>
                <w:bCs/>
                <w:kern w:val="0"/>
                <w:szCs w:val="28"/>
              </w:rPr>
            </w:pPr>
            <w:r>
              <w:rPr>
                <w:rFonts w:hint="eastAsia" w:eastAsiaTheme="minorEastAsia"/>
                <w:bCs/>
                <w:kern w:val="0"/>
                <w:szCs w:val="28"/>
              </w:rPr>
              <w:t>2.4设备技术规格、功能及参数</w:t>
            </w:r>
          </w:p>
          <w:p>
            <w:pPr>
              <w:snapToGrid w:val="0"/>
              <w:spacing w:line="360" w:lineRule="auto"/>
              <w:jc w:val="left"/>
              <w:rPr>
                <w:rFonts w:eastAsiaTheme="minorEastAsia"/>
                <w:bCs/>
                <w:kern w:val="0"/>
                <w:szCs w:val="28"/>
              </w:rPr>
            </w:pPr>
            <w:r>
              <w:rPr>
                <w:rFonts w:hint="eastAsia" w:eastAsiaTheme="minorEastAsia"/>
                <w:bCs/>
                <w:kern w:val="0"/>
                <w:szCs w:val="28"/>
              </w:rPr>
              <w:t>2.4.1 小镜头参数：</w:t>
            </w:r>
          </w:p>
          <w:p>
            <w:pPr>
              <w:snapToGrid w:val="0"/>
              <w:spacing w:line="360" w:lineRule="auto"/>
              <w:jc w:val="left"/>
              <w:rPr>
                <w:rFonts w:eastAsiaTheme="minorEastAsia"/>
                <w:bCs/>
                <w:kern w:val="0"/>
                <w:szCs w:val="28"/>
              </w:rPr>
            </w:pPr>
            <w:r>
              <w:rPr>
                <w:rFonts w:hint="eastAsia" w:eastAsiaTheme="minorEastAsia"/>
                <w:bCs/>
                <w:kern w:val="0"/>
                <w:szCs w:val="28"/>
              </w:rPr>
              <w:t>单次测量范围≥165mm X 125mm X 125mm，点间距≤0.055mm</w:t>
            </w:r>
          </w:p>
          <w:p>
            <w:pPr>
              <w:snapToGrid w:val="0"/>
              <w:spacing w:line="360" w:lineRule="auto"/>
              <w:jc w:val="left"/>
              <w:rPr>
                <w:rFonts w:eastAsiaTheme="minorEastAsia"/>
                <w:bCs/>
                <w:kern w:val="0"/>
                <w:szCs w:val="28"/>
              </w:rPr>
            </w:pPr>
            <w:r>
              <w:rPr>
                <w:rFonts w:hint="eastAsia" w:eastAsiaTheme="minorEastAsia"/>
                <w:bCs/>
                <w:kern w:val="0"/>
                <w:szCs w:val="28"/>
              </w:rPr>
              <w:t>整体测量精度不低于±0.015mm（VDI/VDE part 3部分球心距离验证）</w:t>
            </w:r>
          </w:p>
          <w:p>
            <w:pPr>
              <w:snapToGrid w:val="0"/>
              <w:spacing w:line="360" w:lineRule="auto"/>
              <w:jc w:val="left"/>
              <w:rPr>
                <w:rFonts w:eastAsiaTheme="minorEastAsia"/>
                <w:bCs/>
                <w:kern w:val="0"/>
                <w:szCs w:val="28"/>
              </w:rPr>
            </w:pPr>
            <w:r>
              <w:rPr>
                <w:rFonts w:hint="eastAsia" w:eastAsiaTheme="minorEastAsia"/>
                <w:bCs/>
                <w:kern w:val="0"/>
                <w:szCs w:val="28"/>
              </w:rPr>
              <w:t>更换测量范围镜头时，无需断电，支持热插拔，无需调整镜头的光圈、焦距以及相机间距离，直接更换镜头后校准即可使用</w:t>
            </w:r>
          </w:p>
          <w:p>
            <w:pPr>
              <w:snapToGrid w:val="0"/>
              <w:spacing w:line="360" w:lineRule="auto"/>
              <w:jc w:val="left"/>
              <w:rPr>
                <w:rFonts w:eastAsiaTheme="minorEastAsia"/>
                <w:bCs/>
                <w:kern w:val="0"/>
                <w:szCs w:val="28"/>
              </w:rPr>
            </w:pPr>
            <w:r>
              <w:rPr>
                <w:rFonts w:hint="eastAsia" w:eastAsiaTheme="minorEastAsia"/>
                <w:bCs/>
                <w:kern w:val="0"/>
                <w:szCs w:val="28"/>
              </w:rPr>
              <w:t>2.4.2 大镜头参数：</w:t>
            </w:r>
          </w:p>
          <w:p>
            <w:pPr>
              <w:snapToGrid w:val="0"/>
              <w:spacing w:line="360" w:lineRule="auto"/>
              <w:jc w:val="left"/>
              <w:rPr>
                <w:rFonts w:eastAsiaTheme="minorEastAsia"/>
                <w:bCs/>
                <w:kern w:val="0"/>
                <w:szCs w:val="28"/>
              </w:rPr>
            </w:pPr>
            <w:r>
              <w:rPr>
                <w:rFonts w:hint="eastAsia" w:eastAsiaTheme="minorEastAsia"/>
                <w:bCs/>
                <w:kern w:val="0"/>
                <w:szCs w:val="28"/>
              </w:rPr>
              <w:t>单幅测量范围≥345mm×255mm×255mm，点间距≤0.12mm</w:t>
            </w:r>
          </w:p>
          <w:p>
            <w:pPr>
              <w:snapToGrid w:val="0"/>
              <w:spacing w:line="360" w:lineRule="auto"/>
              <w:jc w:val="left"/>
              <w:rPr>
                <w:rFonts w:eastAsiaTheme="minorEastAsia"/>
                <w:bCs/>
                <w:kern w:val="0"/>
                <w:szCs w:val="28"/>
              </w:rPr>
            </w:pPr>
            <w:r>
              <w:rPr>
                <w:rFonts w:hint="eastAsia" w:eastAsiaTheme="minorEastAsia"/>
                <w:bCs/>
                <w:kern w:val="0"/>
                <w:szCs w:val="28"/>
              </w:rPr>
              <w:t>整体测量精度不低于±0.025mm（VDI/VDE part 3部分球心距离验证）</w:t>
            </w:r>
          </w:p>
          <w:p>
            <w:pPr>
              <w:snapToGrid w:val="0"/>
              <w:spacing w:line="360" w:lineRule="auto"/>
              <w:jc w:val="left"/>
              <w:rPr>
                <w:rFonts w:eastAsiaTheme="minorEastAsia"/>
                <w:bCs/>
                <w:kern w:val="0"/>
                <w:szCs w:val="28"/>
              </w:rPr>
            </w:pPr>
            <w:r>
              <w:rPr>
                <w:rFonts w:hint="eastAsia" w:eastAsiaTheme="minorEastAsia"/>
                <w:bCs/>
                <w:kern w:val="0"/>
                <w:szCs w:val="28"/>
              </w:rPr>
              <w:t>更换测量范围镜头时，无需断电，支持热插拔无需调整镜头的光圈、焦距以及相机间距离，直接更换镜头后校准即可使用</w:t>
            </w:r>
          </w:p>
          <w:p>
            <w:pPr>
              <w:snapToGrid w:val="0"/>
              <w:spacing w:line="360" w:lineRule="auto"/>
              <w:jc w:val="left"/>
              <w:rPr>
                <w:rFonts w:eastAsiaTheme="minorEastAsia"/>
                <w:bCs/>
                <w:kern w:val="0"/>
                <w:szCs w:val="28"/>
              </w:rPr>
            </w:pPr>
            <w:r>
              <w:rPr>
                <w:rFonts w:hint="eastAsia" w:eastAsiaTheme="minorEastAsia"/>
                <w:bCs/>
                <w:kern w:val="0"/>
                <w:szCs w:val="28"/>
              </w:rPr>
              <w:t>2.4.3相机及像素：</w:t>
            </w:r>
          </w:p>
          <w:p>
            <w:pPr>
              <w:snapToGrid w:val="0"/>
              <w:spacing w:line="360" w:lineRule="auto"/>
              <w:jc w:val="left"/>
              <w:rPr>
                <w:rFonts w:eastAsiaTheme="minorEastAsia"/>
                <w:bCs/>
                <w:kern w:val="0"/>
                <w:szCs w:val="28"/>
              </w:rPr>
            </w:pPr>
            <w:r>
              <w:rPr>
                <w:rFonts w:hint="eastAsia" w:eastAsiaTheme="minorEastAsia"/>
                <w:bCs/>
                <w:kern w:val="0"/>
                <w:szCs w:val="28"/>
              </w:rPr>
              <w:t>对称工业级CCD相机，具有三重扫描成像功能（投标时需提供功能实现说明及证明材料），且单相机像素不低于800万像素。相机带有独立的专用外置保护罩</w:t>
            </w:r>
          </w:p>
          <w:p>
            <w:pPr>
              <w:snapToGrid w:val="0"/>
              <w:spacing w:line="360" w:lineRule="auto"/>
              <w:jc w:val="left"/>
              <w:rPr>
                <w:rFonts w:eastAsiaTheme="minorEastAsia"/>
                <w:bCs/>
                <w:kern w:val="0"/>
                <w:szCs w:val="28"/>
              </w:rPr>
            </w:pPr>
            <w:r>
              <w:rPr>
                <w:rFonts w:hint="eastAsia" w:eastAsiaTheme="minorEastAsia"/>
                <w:bCs/>
                <w:kern w:val="0"/>
                <w:szCs w:val="28"/>
              </w:rPr>
              <w:t>2.4.4投影光栅：</w:t>
            </w:r>
          </w:p>
          <w:p>
            <w:pPr>
              <w:snapToGrid w:val="0"/>
              <w:spacing w:line="360" w:lineRule="auto"/>
              <w:jc w:val="left"/>
              <w:rPr>
                <w:rFonts w:eastAsiaTheme="minorEastAsia"/>
                <w:bCs/>
                <w:kern w:val="0"/>
                <w:szCs w:val="28"/>
              </w:rPr>
            </w:pPr>
            <w:r>
              <w:rPr>
                <w:rFonts w:hint="eastAsia" w:eastAsiaTheme="minorEastAsia"/>
                <w:bCs/>
                <w:kern w:val="0"/>
                <w:szCs w:val="28"/>
              </w:rPr>
              <w:t>采用横竖双向高精度数字条纹光栅，能够采集半径为0.5mm的点云数据。</w:t>
            </w:r>
          </w:p>
          <w:p>
            <w:pPr>
              <w:snapToGrid w:val="0"/>
              <w:spacing w:line="360" w:lineRule="auto"/>
              <w:jc w:val="left"/>
              <w:rPr>
                <w:rFonts w:eastAsiaTheme="minorEastAsia"/>
                <w:bCs/>
                <w:kern w:val="0"/>
                <w:szCs w:val="28"/>
              </w:rPr>
            </w:pPr>
            <w:r>
              <w:rPr>
                <w:rFonts w:hint="eastAsia" w:eastAsiaTheme="minorEastAsia"/>
                <w:bCs/>
                <w:kern w:val="0"/>
                <w:szCs w:val="28"/>
              </w:rPr>
              <w:t>2.4.5蓝光均衡功能：</w:t>
            </w:r>
          </w:p>
          <w:p>
            <w:pPr>
              <w:snapToGrid w:val="0"/>
              <w:spacing w:line="360" w:lineRule="auto"/>
              <w:jc w:val="left"/>
              <w:rPr>
                <w:rFonts w:eastAsiaTheme="minorEastAsia"/>
                <w:bCs/>
                <w:kern w:val="0"/>
                <w:szCs w:val="28"/>
              </w:rPr>
            </w:pPr>
            <w:r>
              <w:rPr>
                <w:rFonts w:hint="eastAsia" w:eastAsiaTheme="minorEastAsia"/>
                <w:bCs/>
                <w:kern w:val="0"/>
                <w:szCs w:val="28"/>
              </w:rPr>
              <w:t>具有蓝光均衡器控制功能，使测量范围内所有区域蓝光分布均匀，确保边缘数据质量清晰，精度可靠。</w:t>
            </w:r>
          </w:p>
          <w:p>
            <w:pPr>
              <w:snapToGrid w:val="0"/>
              <w:spacing w:line="360" w:lineRule="auto"/>
              <w:jc w:val="left"/>
              <w:rPr>
                <w:rFonts w:eastAsiaTheme="minorEastAsia"/>
                <w:bCs/>
                <w:kern w:val="0"/>
                <w:szCs w:val="28"/>
              </w:rPr>
            </w:pPr>
            <w:r>
              <w:rPr>
                <w:rFonts w:hint="eastAsia" w:eastAsiaTheme="minorEastAsia"/>
                <w:bCs/>
                <w:kern w:val="0"/>
                <w:szCs w:val="28"/>
              </w:rPr>
              <w:t>2.4.6所有测量范围的测量距离（测头距离被测物体）：≥485mm</w:t>
            </w:r>
          </w:p>
          <w:p>
            <w:pPr>
              <w:snapToGrid w:val="0"/>
              <w:spacing w:line="360" w:lineRule="auto"/>
              <w:jc w:val="left"/>
              <w:rPr>
                <w:rFonts w:eastAsiaTheme="minorEastAsia"/>
                <w:bCs/>
                <w:kern w:val="0"/>
                <w:szCs w:val="28"/>
              </w:rPr>
            </w:pPr>
            <w:r>
              <w:rPr>
                <w:rFonts w:hint="eastAsia" w:eastAsiaTheme="minorEastAsia"/>
                <w:bCs/>
                <w:kern w:val="0"/>
                <w:szCs w:val="28"/>
              </w:rPr>
              <w:t>2.4.7测头重量：≤4.5kg</w:t>
            </w:r>
          </w:p>
          <w:p>
            <w:pPr>
              <w:snapToGrid w:val="0"/>
              <w:spacing w:line="360" w:lineRule="auto"/>
              <w:jc w:val="left"/>
              <w:rPr>
                <w:rFonts w:eastAsiaTheme="minorEastAsia"/>
                <w:bCs/>
                <w:kern w:val="0"/>
                <w:szCs w:val="28"/>
              </w:rPr>
            </w:pPr>
            <w:r>
              <w:rPr>
                <w:rFonts w:hint="eastAsia" w:eastAsiaTheme="minorEastAsia"/>
                <w:bCs/>
                <w:kern w:val="0"/>
                <w:szCs w:val="28"/>
              </w:rPr>
              <w:t>2.4.8单次检测时间：≤1s</w:t>
            </w:r>
          </w:p>
          <w:p>
            <w:pPr>
              <w:snapToGrid w:val="0"/>
              <w:spacing w:line="360" w:lineRule="auto"/>
              <w:jc w:val="left"/>
              <w:rPr>
                <w:rFonts w:eastAsiaTheme="minorEastAsia"/>
                <w:bCs/>
                <w:kern w:val="0"/>
                <w:szCs w:val="28"/>
              </w:rPr>
            </w:pPr>
            <w:r>
              <w:rPr>
                <w:rFonts w:hint="eastAsia" w:eastAsiaTheme="minorEastAsia"/>
                <w:bCs/>
                <w:kern w:val="0"/>
                <w:szCs w:val="28"/>
              </w:rPr>
              <w:t>2.4.9 采用光纤数据传输方式，确保单幅扫描效率，线缆长度不低于10m</w:t>
            </w:r>
          </w:p>
          <w:p>
            <w:pPr>
              <w:snapToGrid w:val="0"/>
              <w:spacing w:line="360" w:lineRule="auto"/>
              <w:jc w:val="left"/>
              <w:rPr>
                <w:rFonts w:eastAsiaTheme="minorEastAsia"/>
                <w:bCs/>
                <w:kern w:val="0"/>
                <w:szCs w:val="28"/>
              </w:rPr>
            </w:pPr>
            <w:r>
              <w:rPr>
                <w:rFonts w:hint="eastAsia" w:eastAsiaTheme="minorEastAsia"/>
                <w:bCs/>
                <w:kern w:val="0"/>
                <w:szCs w:val="28"/>
              </w:rPr>
              <w:t>2.4.10 设备配备独立的控制器，控制器集成电源接线功能，全部设备的外部电源需求仅需1个三相电接口</w:t>
            </w:r>
          </w:p>
          <w:p>
            <w:pPr>
              <w:snapToGrid w:val="0"/>
              <w:spacing w:line="360" w:lineRule="auto"/>
              <w:jc w:val="left"/>
              <w:rPr>
                <w:rFonts w:eastAsiaTheme="minorEastAsia"/>
                <w:bCs/>
                <w:kern w:val="0"/>
                <w:szCs w:val="28"/>
              </w:rPr>
            </w:pPr>
            <w:r>
              <w:rPr>
                <w:rFonts w:hint="eastAsia" w:eastAsiaTheme="minorEastAsia"/>
                <w:bCs/>
                <w:kern w:val="0"/>
                <w:szCs w:val="28"/>
              </w:rPr>
              <w:t>2.5监测功能：</w:t>
            </w:r>
          </w:p>
          <w:p>
            <w:pPr>
              <w:snapToGrid w:val="0"/>
              <w:spacing w:line="360" w:lineRule="auto"/>
              <w:jc w:val="left"/>
              <w:rPr>
                <w:rFonts w:eastAsiaTheme="minorEastAsia"/>
                <w:bCs/>
                <w:kern w:val="0"/>
                <w:szCs w:val="28"/>
              </w:rPr>
            </w:pPr>
            <w:r>
              <w:rPr>
                <w:rFonts w:hint="eastAsia" w:eastAsiaTheme="minorEastAsia"/>
                <w:bCs/>
                <w:kern w:val="0"/>
                <w:szCs w:val="28"/>
              </w:rPr>
              <w:t>在扫描过程中一旦遇到设备或者工件收到外界因素干扰产生振动或者移动所导致测量精度超出设备精度会自动报警。包括检测扫描头精度，拼合精度、扫描过程中的环境振动等。</w:t>
            </w:r>
          </w:p>
          <w:p>
            <w:pPr>
              <w:snapToGrid w:val="0"/>
              <w:spacing w:line="360" w:lineRule="auto"/>
              <w:jc w:val="left"/>
              <w:rPr>
                <w:rFonts w:eastAsiaTheme="minorEastAsia"/>
                <w:bCs/>
                <w:kern w:val="0"/>
                <w:szCs w:val="28"/>
              </w:rPr>
            </w:pPr>
            <w:r>
              <w:rPr>
                <w:rFonts w:hint="eastAsia" w:eastAsiaTheme="minorEastAsia"/>
                <w:bCs/>
                <w:kern w:val="0"/>
                <w:szCs w:val="28"/>
              </w:rPr>
              <w:t>2.6智能设置测量引导</w:t>
            </w:r>
          </w:p>
          <w:p>
            <w:pPr>
              <w:snapToGrid w:val="0"/>
              <w:spacing w:line="360" w:lineRule="auto"/>
              <w:jc w:val="left"/>
              <w:rPr>
                <w:rFonts w:eastAsiaTheme="minorEastAsia"/>
                <w:bCs/>
                <w:kern w:val="0"/>
                <w:szCs w:val="28"/>
              </w:rPr>
            </w:pPr>
            <w:r>
              <w:rPr>
                <w:rFonts w:hint="eastAsia" w:eastAsiaTheme="minorEastAsia"/>
                <w:bCs/>
                <w:kern w:val="0"/>
                <w:szCs w:val="28"/>
              </w:rPr>
              <w:t>2.6.1引导扫描工作流程，智能提示下一步扫描的操作内容，保证初学者，短时间内可使用扫描仪进行数据扫描采集。</w:t>
            </w:r>
          </w:p>
          <w:p>
            <w:pPr>
              <w:snapToGrid w:val="0"/>
              <w:spacing w:line="360" w:lineRule="auto"/>
              <w:jc w:val="left"/>
              <w:rPr>
                <w:rFonts w:eastAsiaTheme="minorEastAsia"/>
                <w:bCs/>
                <w:kern w:val="0"/>
                <w:szCs w:val="28"/>
              </w:rPr>
            </w:pPr>
            <w:r>
              <w:rPr>
                <w:rFonts w:hint="eastAsia" w:eastAsiaTheme="minorEastAsia"/>
                <w:bCs/>
                <w:kern w:val="0"/>
                <w:szCs w:val="28"/>
              </w:rPr>
              <w:t>2.6.2智能镜头识别系统，选择测量范围与镜头不匹配时，提示镜头不符，无法进行后续校准步骤，避免操作人员疏忽导致的系统无法正常运行。</w:t>
            </w:r>
          </w:p>
          <w:p>
            <w:pPr>
              <w:snapToGrid w:val="0"/>
              <w:spacing w:line="360" w:lineRule="auto"/>
              <w:jc w:val="left"/>
              <w:rPr>
                <w:rFonts w:eastAsiaTheme="minorEastAsia"/>
                <w:bCs/>
                <w:kern w:val="0"/>
                <w:szCs w:val="28"/>
              </w:rPr>
            </w:pPr>
            <w:r>
              <w:rPr>
                <w:rFonts w:hint="eastAsia" w:eastAsiaTheme="minorEastAsia"/>
                <w:bCs/>
                <w:kern w:val="0"/>
                <w:szCs w:val="28"/>
              </w:rPr>
              <w:t>2.6.3对扫描头进行硬件设置时，带有图形引导调整功能，提高调整质量，以达到设备的最佳性能</w:t>
            </w:r>
          </w:p>
          <w:p>
            <w:pPr>
              <w:snapToGrid w:val="0"/>
              <w:spacing w:line="360" w:lineRule="auto"/>
              <w:jc w:val="left"/>
              <w:rPr>
                <w:rFonts w:eastAsiaTheme="minorEastAsia"/>
                <w:bCs/>
                <w:kern w:val="0"/>
                <w:szCs w:val="28"/>
              </w:rPr>
            </w:pPr>
            <w:r>
              <w:rPr>
                <w:rFonts w:hint="eastAsia" w:eastAsiaTheme="minorEastAsia"/>
                <w:bCs/>
                <w:kern w:val="0"/>
                <w:szCs w:val="28"/>
              </w:rPr>
              <w:t>2.7 控制机构</w:t>
            </w:r>
          </w:p>
          <w:p>
            <w:pPr>
              <w:snapToGrid w:val="0"/>
              <w:spacing w:line="360" w:lineRule="auto"/>
              <w:jc w:val="left"/>
              <w:rPr>
                <w:rFonts w:eastAsiaTheme="minorEastAsia"/>
                <w:bCs/>
                <w:kern w:val="0"/>
                <w:szCs w:val="28"/>
              </w:rPr>
            </w:pPr>
            <w:r>
              <w:rPr>
                <w:rFonts w:hint="eastAsia" w:eastAsiaTheme="minorEastAsia"/>
                <w:bCs/>
                <w:kern w:val="0"/>
                <w:szCs w:val="28"/>
              </w:rPr>
              <w:t>2.7.1数控旋转台</w:t>
            </w:r>
          </w:p>
          <w:p>
            <w:pPr>
              <w:snapToGrid w:val="0"/>
              <w:spacing w:line="360" w:lineRule="auto"/>
              <w:jc w:val="left"/>
              <w:rPr>
                <w:rFonts w:eastAsiaTheme="minorEastAsia"/>
                <w:bCs/>
                <w:kern w:val="0"/>
                <w:szCs w:val="28"/>
              </w:rPr>
            </w:pPr>
            <w:r>
              <w:rPr>
                <w:rFonts w:hint="eastAsia" w:eastAsiaTheme="minorEastAsia"/>
                <w:bCs/>
                <w:kern w:val="0"/>
                <w:szCs w:val="28"/>
              </w:rPr>
              <w:t>软件自动控制转台1台，台面直径≥350mm，承载≥20kg（含夹具和工件），360°旋转，工作状态重心稳定。</w:t>
            </w:r>
          </w:p>
          <w:p>
            <w:pPr>
              <w:snapToGrid w:val="0"/>
              <w:spacing w:line="360" w:lineRule="auto"/>
              <w:jc w:val="left"/>
              <w:rPr>
                <w:rFonts w:eastAsiaTheme="minorEastAsia"/>
                <w:bCs/>
                <w:kern w:val="0"/>
                <w:szCs w:val="28"/>
              </w:rPr>
            </w:pPr>
            <w:r>
              <w:rPr>
                <w:rFonts w:hint="eastAsia" w:eastAsiaTheme="minorEastAsia"/>
                <w:bCs/>
                <w:kern w:val="0"/>
                <w:szCs w:val="28"/>
              </w:rPr>
              <w:t>2.7.2 扫描支架</w:t>
            </w:r>
          </w:p>
          <w:p>
            <w:pPr>
              <w:snapToGrid w:val="0"/>
              <w:spacing w:line="360" w:lineRule="auto"/>
              <w:jc w:val="left"/>
              <w:rPr>
                <w:rFonts w:eastAsiaTheme="minorEastAsia"/>
                <w:bCs/>
                <w:kern w:val="0"/>
                <w:szCs w:val="28"/>
              </w:rPr>
            </w:pPr>
            <w:r>
              <w:rPr>
                <w:rFonts w:hint="eastAsia" w:eastAsiaTheme="minorEastAsia"/>
                <w:bCs/>
                <w:kern w:val="0"/>
                <w:szCs w:val="28"/>
              </w:rPr>
              <w:t>提供碳纤维三脚扫描支架一套，用于承载扫描头，承载≥6KG；</w:t>
            </w:r>
          </w:p>
          <w:p>
            <w:pPr>
              <w:snapToGrid w:val="0"/>
              <w:spacing w:line="360" w:lineRule="auto"/>
              <w:jc w:val="left"/>
              <w:rPr>
                <w:rFonts w:eastAsiaTheme="minorEastAsia"/>
                <w:bCs/>
                <w:kern w:val="0"/>
                <w:szCs w:val="28"/>
              </w:rPr>
            </w:pPr>
            <w:r>
              <w:rPr>
                <w:rFonts w:hint="eastAsia" w:eastAsiaTheme="minorEastAsia"/>
                <w:bCs/>
                <w:kern w:val="0"/>
                <w:szCs w:val="28"/>
              </w:rPr>
              <w:t>3．设备配置</w:t>
            </w:r>
          </w:p>
          <w:p>
            <w:pPr>
              <w:snapToGrid w:val="0"/>
              <w:spacing w:line="360" w:lineRule="auto"/>
              <w:jc w:val="left"/>
              <w:rPr>
                <w:rFonts w:eastAsiaTheme="minorEastAsia"/>
                <w:bCs/>
                <w:kern w:val="0"/>
                <w:szCs w:val="28"/>
              </w:rPr>
            </w:pPr>
            <w:r>
              <w:rPr>
                <w:rFonts w:hint="eastAsia" w:eastAsiaTheme="minorEastAsia"/>
                <w:bCs/>
                <w:kern w:val="0"/>
                <w:szCs w:val="28"/>
              </w:rPr>
              <w:t>3.1硬件配置</w:t>
            </w:r>
            <w:r>
              <w:rPr>
                <w:rFonts w:hint="eastAsia" w:eastAsiaTheme="minorEastAsia"/>
                <w:bCs/>
                <w:kern w:val="0"/>
                <w:szCs w:val="28"/>
              </w:rPr>
              <w:tab/>
            </w:r>
          </w:p>
          <w:p>
            <w:pPr>
              <w:snapToGrid w:val="0"/>
              <w:spacing w:line="360" w:lineRule="auto"/>
              <w:jc w:val="left"/>
              <w:rPr>
                <w:rFonts w:eastAsiaTheme="minorEastAsia"/>
                <w:bCs/>
                <w:kern w:val="0"/>
                <w:szCs w:val="28"/>
              </w:rPr>
            </w:pPr>
            <w:r>
              <w:rPr>
                <w:rFonts w:hint="eastAsia" w:eastAsiaTheme="minorEastAsia"/>
                <w:bCs/>
                <w:kern w:val="0"/>
                <w:szCs w:val="28"/>
              </w:rPr>
              <w:t>3.1.1主机系统</w:t>
            </w:r>
          </w:p>
          <w:p>
            <w:pPr>
              <w:snapToGrid w:val="0"/>
              <w:spacing w:line="360" w:lineRule="auto"/>
              <w:jc w:val="left"/>
              <w:rPr>
                <w:rFonts w:eastAsiaTheme="minorEastAsia"/>
                <w:bCs/>
                <w:kern w:val="0"/>
                <w:szCs w:val="28"/>
              </w:rPr>
            </w:pPr>
            <w:r>
              <w:rPr>
                <w:rFonts w:hint="eastAsia" w:eastAsiaTheme="minorEastAsia"/>
                <w:bCs/>
                <w:kern w:val="0"/>
                <w:szCs w:val="28"/>
              </w:rPr>
              <w:t>对称工业级CCD立体相机，大、小镜头各一组，内置电源、扫描头控制器、LED冷光源投影光源，寿命在1万小时以上。</w:t>
            </w:r>
          </w:p>
          <w:p>
            <w:pPr>
              <w:snapToGrid w:val="0"/>
              <w:spacing w:line="360" w:lineRule="auto"/>
              <w:jc w:val="left"/>
              <w:rPr>
                <w:rFonts w:eastAsiaTheme="minorEastAsia"/>
                <w:bCs/>
                <w:kern w:val="0"/>
                <w:szCs w:val="28"/>
              </w:rPr>
            </w:pPr>
            <w:r>
              <w:rPr>
                <w:rFonts w:hint="eastAsia" w:eastAsiaTheme="minorEastAsia"/>
                <w:bCs/>
                <w:kern w:val="0"/>
                <w:szCs w:val="28"/>
              </w:rPr>
              <w:t>3.1.2镜头防护罩</w:t>
            </w:r>
          </w:p>
          <w:p>
            <w:pPr>
              <w:snapToGrid w:val="0"/>
              <w:spacing w:line="360" w:lineRule="auto"/>
              <w:jc w:val="left"/>
              <w:rPr>
                <w:rFonts w:eastAsiaTheme="minorEastAsia"/>
                <w:bCs/>
                <w:kern w:val="0"/>
                <w:szCs w:val="28"/>
              </w:rPr>
            </w:pPr>
            <w:r>
              <w:rPr>
                <w:rFonts w:hint="eastAsia" w:eastAsiaTheme="minorEastAsia"/>
                <w:bCs/>
                <w:kern w:val="0"/>
                <w:szCs w:val="28"/>
              </w:rPr>
              <w:t>扫描头上每个镜头必须配有独立镜头防护罩，隔离灰尘及避免碰撞、接触镜头，提高系统使用稳定性。</w:t>
            </w:r>
          </w:p>
          <w:p>
            <w:pPr>
              <w:snapToGrid w:val="0"/>
              <w:spacing w:line="360" w:lineRule="auto"/>
              <w:jc w:val="left"/>
              <w:rPr>
                <w:rFonts w:eastAsiaTheme="minorEastAsia"/>
                <w:bCs/>
                <w:kern w:val="0"/>
                <w:szCs w:val="28"/>
              </w:rPr>
            </w:pPr>
            <w:r>
              <w:rPr>
                <w:rFonts w:hint="eastAsia" w:eastAsiaTheme="minorEastAsia"/>
                <w:bCs/>
                <w:kern w:val="0"/>
                <w:szCs w:val="28"/>
              </w:rPr>
              <w:t>3.1.3计算机系统：</w:t>
            </w:r>
          </w:p>
          <w:p>
            <w:pPr>
              <w:snapToGrid w:val="0"/>
              <w:spacing w:line="360" w:lineRule="auto"/>
              <w:jc w:val="left"/>
              <w:rPr>
                <w:rFonts w:eastAsiaTheme="minorEastAsia"/>
                <w:bCs/>
                <w:kern w:val="0"/>
                <w:szCs w:val="28"/>
              </w:rPr>
            </w:pPr>
            <w:r>
              <w:rPr>
                <w:rFonts w:hint="eastAsia" w:eastAsiaTheme="minorEastAsia"/>
                <w:bCs/>
                <w:kern w:val="0"/>
                <w:szCs w:val="28"/>
              </w:rPr>
              <w:t xml:space="preserve">处理器配置不低于：64 Bit Intel Core i7-8850H处理器，主频 2.6 GHz </w:t>
            </w:r>
          </w:p>
          <w:p>
            <w:pPr>
              <w:snapToGrid w:val="0"/>
              <w:spacing w:line="360" w:lineRule="auto"/>
              <w:jc w:val="left"/>
              <w:rPr>
                <w:rFonts w:eastAsiaTheme="minorEastAsia"/>
                <w:bCs/>
                <w:kern w:val="0"/>
                <w:szCs w:val="28"/>
              </w:rPr>
            </w:pPr>
            <w:r>
              <w:rPr>
                <w:rFonts w:hint="eastAsia" w:eastAsiaTheme="minorEastAsia"/>
                <w:bCs/>
                <w:kern w:val="0"/>
                <w:szCs w:val="28"/>
              </w:rPr>
              <w:t>内存不低于：64 GB RAM</w:t>
            </w:r>
          </w:p>
          <w:p>
            <w:pPr>
              <w:snapToGrid w:val="0"/>
              <w:spacing w:line="360" w:lineRule="auto"/>
              <w:jc w:val="left"/>
              <w:rPr>
                <w:rFonts w:eastAsiaTheme="minorEastAsia"/>
                <w:bCs/>
                <w:kern w:val="0"/>
                <w:szCs w:val="28"/>
              </w:rPr>
            </w:pPr>
            <w:r>
              <w:rPr>
                <w:rFonts w:hint="eastAsia" w:eastAsiaTheme="minorEastAsia"/>
                <w:bCs/>
                <w:kern w:val="0"/>
                <w:szCs w:val="28"/>
              </w:rPr>
              <w:t>显卡配置不低于：NVIDIA Quadro OpenGL graphics card P3200</w:t>
            </w:r>
          </w:p>
          <w:p>
            <w:pPr>
              <w:snapToGrid w:val="0"/>
              <w:spacing w:line="360" w:lineRule="auto"/>
              <w:jc w:val="left"/>
              <w:rPr>
                <w:rFonts w:eastAsiaTheme="minorEastAsia"/>
                <w:bCs/>
                <w:kern w:val="0"/>
                <w:szCs w:val="28"/>
              </w:rPr>
            </w:pPr>
            <w:r>
              <w:rPr>
                <w:rFonts w:hint="eastAsia" w:eastAsiaTheme="minorEastAsia"/>
                <w:bCs/>
                <w:kern w:val="0"/>
                <w:szCs w:val="28"/>
              </w:rPr>
              <w:t>屏幕不低于17英寸</w:t>
            </w:r>
          </w:p>
          <w:p>
            <w:pPr>
              <w:snapToGrid w:val="0"/>
              <w:spacing w:line="360" w:lineRule="auto"/>
              <w:jc w:val="left"/>
              <w:rPr>
                <w:rFonts w:eastAsiaTheme="minorEastAsia"/>
                <w:bCs/>
                <w:kern w:val="0"/>
                <w:szCs w:val="28"/>
              </w:rPr>
            </w:pPr>
            <w:r>
              <w:rPr>
                <w:rFonts w:hint="eastAsia" w:eastAsiaTheme="minorEastAsia"/>
                <w:bCs/>
                <w:kern w:val="0"/>
                <w:szCs w:val="28"/>
              </w:rPr>
              <w:t>硬盘存储：1 TB 固态硬盘</w:t>
            </w:r>
          </w:p>
          <w:p>
            <w:pPr>
              <w:snapToGrid w:val="0"/>
              <w:spacing w:line="360" w:lineRule="auto"/>
              <w:jc w:val="left"/>
              <w:rPr>
                <w:rFonts w:eastAsiaTheme="minorEastAsia"/>
                <w:bCs/>
                <w:kern w:val="0"/>
                <w:szCs w:val="28"/>
              </w:rPr>
            </w:pPr>
            <w:r>
              <w:rPr>
                <w:rFonts w:hint="eastAsia" w:eastAsiaTheme="minorEastAsia"/>
                <w:bCs/>
                <w:kern w:val="0"/>
                <w:szCs w:val="28"/>
              </w:rPr>
              <w:t>外置：鼠标等</w:t>
            </w:r>
          </w:p>
          <w:p>
            <w:pPr>
              <w:snapToGrid w:val="0"/>
              <w:spacing w:line="360" w:lineRule="auto"/>
              <w:jc w:val="left"/>
              <w:rPr>
                <w:rFonts w:eastAsiaTheme="minorEastAsia"/>
                <w:bCs/>
                <w:kern w:val="0"/>
                <w:szCs w:val="28"/>
              </w:rPr>
            </w:pPr>
            <w:r>
              <w:rPr>
                <w:rFonts w:hint="eastAsia" w:eastAsiaTheme="minorEastAsia"/>
                <w:bCs/>
                <w:kern w:val="0"/>
                <w:szCs w:val="28"/>
              </w:rPr>
              <w:t>系统： Windows 10 (64 Bit)</w:t>
            </w:r>
          </w:p>
          <w:p>
            <w:pPr>
              <w:snapToGrid w:val="0"/>
              <w:spacing w:line="360" w:lineRule="auto"/>
              <w:jc w:val="left"/>
              <w:rPr>
                <w:rFonts w:eastAsiaTheme="minorEastAsia"/>
                <w:bCs/>
                <w:kern w:val="0"/>
                <w:szCs w:val="28"/>
              </w:rPr>
            </w:pPr>
            <w:r>
              <w:rPr>
                <w:rFonts w:hint="eastAsia" w:eastAsiaTheme="minorEastAsia"/>
                <w:bCs/>
                <w:kern w:val="0"/>
                <w:szCs w:val="28"/>
              </w:rPr>
              <w:t>3年戴尔联保</w:t>
            </w:r>
          </w:p>
          <w:p>
            <w:pPr>
              <w:snapToGrid w:val="0"/>
              <w:spacing w:line="360" w:lineRule="auto"/>
              <w:jc w:val="left"/>
              <w:rPr>
                <w:rFonts w:eastAsiaTheme="minorEastAsia"/>
                <w:bCs/>
                <w:kern w:val="0"/>
                <w:szCs w:val="28"/>
              </w:rPr>
            </w:pPr>
            <w:r>
              <w:rPr>
                <w:rFonts w:hint="eastAsia" w:eastAsiaTheme="minorEastAsia"/>
                <w:bCs/>
                <w:kern w:val="0"/>
                <w:szCs w:val="28"/>
              </w:rPr>
              <w:t>3.1.4其它配置</w:t>
            </w:r>
          </w:p>
          <w:p>
            <w:pPr>
              <w:snapToGrid w:val="0"/>
              <w:spacing w:line="360" w:lineRule="auto"/>
              <w:jc w:val="left"/>
              <w:rPr>
                <w:rFonts w:eastAsiaTheme="minorEastAsia"/>
                <w:bCs/>
                <w:kern w:val="0"/>
                <w:szCs w:val="28"/>
              </w:rPr>
            </w:pPr>
            <w:r>
              <w:rPr>
                <w:rFonts w:hint="eastAsia" w:eastAsiaTheme="minorEastAsia"/>
                <w:bCs/>
                <w:kern w:val="0"/>
                <w:szCs w:val="28"/>
              </w:rPr>
              <w:t>1）用于标定CCD镜头的校标板2套</w:t>
            </w:r>
          </w:p>
          <w:p>
            <w:pPr>
              <w:snapToGrid w:val="0"/>
              <w:spacing w:line="360" w:lineRule="auto"/>
              <w:jc w:val="left"/>
              <w:rPr>
                <w:rFonts w:eastAsiaTheme="minorEastAsia"/>
                <w:bCs/>
                <w:kern w:val="0"/>
                <w:szCs w:val="28"/>
              </w:rPr>
            </w:pPr>
            <w:r>
              <w:rPr>
                <w:rFonts w:hint="eastAsia" w:eastAsiaTheme="minorEastAsia"/>
                <w:bCs/>
                <w:kern w:val="0"/>
                <w:szCs w:val="28"/>
              </w:rPr>
              <w:t>2）参考点若干；</w:t>
            </w:r>
          </w:p>
          <w:p>
            <w:pPr>
              <w:snapToGrid w:val="0"/>
              <w:spacing w:line="360" w:lineRule="auto"/>
              <w:jc w:val="left"/>
              <w:rPr>
                <w:rFonts w:eastAsiaTheme="minorEastAsia"/>
                <w:bCs/>
                <w:kern w:val="0"/>
                <w:szCs w:val="28"/>
              </w:rPr>
            </w:pPr>
            <w:r>
              <w:rPr>
                <w:rFonts w:hint="eastAsia" w:eastAsiaTheme="minorEastAsia"/>
                <w:bCs/>
                <w:kern w:val="0"/>
                <w:szCs w:val="28"/>
              </w:rPr>
              <w:t>3）配套工具箱（内六角，剪刀，镊子等）</w:t>
            </w:r>
          </w:p>
          <w:p>
            <w:pPr>
              <w:snapToGrid w:val="0"/>
              <w:spacing w:line="360" w:lineRule="auto"/>
              <w:jc w:val="left"/>
              <w:rPr>
                <w:rFonts w:eastAsiaTheme="minorEastAsia"/>
                <w:bCs/>
                <w:kern w:val="0"/>
                <w:szCs w:val="28"/>
              </w:rPr>
            </w:pPr>
            <w:r>
              <w:rPr>
                <w:rFonts w:hint="eastAsia" w:eastAsiaTheme="minorEastAsia"/>
                <w:bCs/>
                <w:kern w:val="0"/>
                <w:szCs w:val="28"/>
              </w:rPr>
              <w:t>4）扫描遥控器；</w:t>
            </w:r>
          </w:p>
          <w:p>
            <w:pPr>
              <w:snapToGrid w:val="0"/>
              <w:spacing w:line="360" w:lineRule="auto"/>
              <w:jc w:val="left"/>
              <w:rPr>
                <w:rFonts w:eastAsiaTheme="minorEastAsia"/>
                <w:bCs/>
                <w:kern w:val="0"/>
                <w:szCs w:val="28"/>
              </w:rPr>
            </w:pPr>
            <w:r>
              <w:rPr>
                <w:rFonts w:hint="eastAsia" w:eastAsiaTheme="minorEastAsia"/>
                <w:bCs/>
                <w:kern w:val="0"/>
                <w:szCs w:val="28"/>
              </w:rPr>
              <w:t>5）设备、镜头防震包装箱1套；</w:t>
            </w:r>
          </w:p>
          <w:p>
            <w:pPr>
              <w:snapToGrid w:val="0"/>
              <w:spacing w:line="360" w:lineRule="auto"/>
              <w:jc w:val="left"/>
              <w:rPr>
                <w:rFonts w:eastAsiaTheme="minorEastAsia"/>
                <w:bCs/>
                <w:kern w:val="0"/>
                <w:szCs w:val="28"/>
              </w:rPr>
            </w:pPr>
            <w:r>
              <w:rPr>
                <w:rFonts w:hint="eastAsia" w:eastAsiaTheme="minorEastAsia"/>
                <w:bCs/>
                <w:kern w:val="0"/>
                <w:szCs w:val="28"/>
              </w:rPr>
              <w:t>3.2 软件配置和功能</w:t>
            </w:r>
          </w:p>
          <w:p>
            <w:pPr>
              <w:snapToGrid w:val="0"/>
              <w:spacing w:line="360" w:lineRule="auto"/>
              <w:jc w:val="left"/>
              <w:rPr>
                <w:rFonts w:eastAsiaTheme="minorEastAsia"/>
                <w:bCs/>
                <w:kern w:val="0"/>
                <w:szCs w:val="28"/>
              </w:rPr>
            </w:pPr>
            <w:r>
              <w:rPr>
                <w:rFonts w:hint="eastAsia" w:eastAsiaTheme="minorEastAsia"/>
                <w:bCs/>
                <w:kern w:val="0"/>
                <w:szCs w:val="28"/>
              </w:rPr>
              <w:t>3.2.1正版操作系统软件Windows 10 (64 Bit)，中文界面。</w:t>
            </w:r>
          </w:p>
          <w:p>
            <w:pPr>
              <w:snapToGrid w:val="0"/>
              <w:spacing w:line="360" w:lineRule="auto"/>
              <w:jc w:val="left"/>
              <w:rPr>
                <w:rFonts w:eastAsiaTheme="minorEastAsia"/>
                <w:bCs/>
                <w:kern w:val="0"/>
                <w:szCs w:val="28"/>
              </w:rPr>
            </w:pPr>
            <w:r>
              <w:rPr>
                <w:rFonts w:hint="eastAsia" w:eastAsiaTheme="minorEastAsia"/>
                <w:bCs/>
                <w:kern w:val="0"/>
                <w:szCs w:val="28"/>
              </w:rPr>
              <w:t>3.2.2 扫描功能、检测功能、生成报告功能需集成在同一软件内，无需切换</w:t>
            </w:r>
          </w:p>
          <w:p>
            <w:pPr>
              <w:snapToGrid w:val="0"/>
              <w:spacing w:line="360" w:lineRule="auto"/>
              <w:jc w:val="left"/>
              <w:rPr>
                <w:rFonts w:eastAsiaTheme="minorEastAsia"/>
                <w:bCs/>
                <w:kern w:val="0"/>
                <w:szCs w:val="28"/>
              </w:rPr>
            </w:pPr>
            <w:r>
              <w:rPr>
                <w:rFonts w:hint="eastAsia" w:eastAsiaTheme="minorEastAsia"/>
                <w:bCs/>
                <w:kern w:val="0"/>
                <w:szCs w:val="28"/>
              </w:rPr>
              <w:t>3.2.3配备正版扫描(含数据分析功能)软件20套，软件必须为硬件厂家自有，非外购，以保证兼容性，用于学生教学和练习。</w:t>
            </w:r>
          </w:p>
          <w:p>
            <w:pPr>
              <w:snapToGrid w:val="0"/>
              <w:spacing w:line="360" w:lineRule="auto"/>
              <w:jc w:val="left"/>
              <w:rPr>
                <w:rFonts w:eastAsiaTheme="minorEastAsia"/>
                <w:bCs/>
                <w:kern w:val="0"/>
                <w:szCs w:val="28"/>
              </w:rPr>
            </w:pPr>
            <w:r>
              <w:rPr>
                <w:rFonts w:hint="eastAsia" w:eastAsiaTheme="minorEastAsia"/>
                <w:bCs/>
                <w:kern w:val="0"/>
                <w:szCs w:val="28"/>
              </w:rPr>
              <w:t>3.2.4扫描软件需包含以下功能</w:t>
            </w:r>
          </w:p>
          <w:p>
            <w:pPr>
              <w:snapToGrid w:val="0"/>
              <w:spacing w:line="360" w:lineRule="auto"/>
              <w:jc w:val="left"/>
              <w:rPr>
                <w:rFonts w:eastAsiaTheme="minorEastAsia"/>
                <w:bCs/>
                <w:kern w:val="0"/>
                <w:szCs w:val="28"/>
              </w:rPr>
            </w:pPr>
            <w:r>
              <w:rPr>
                <w:rFonts w:hint="eastAsia" w:eastAsiaTheme="minorEastAsia"/>
                <w:bCs/>
                <w:kern w:val="0"/>
                <w:szCs w:val="28"/>
              </w:rPr>
              <w:t>1）测量数据采集和项目管理</w:t>
            </w:r>
          </w:p>
          <w:p>
            <w:pPr>
              <w:snapToGrid w:val="0"/>
              <w:spacing w:line="360" w:lineRule="auto"/>
              <w:jc w:val="left"/>
              <w:rPr>
                <w:rFonts w:eastAsiaTheme="minorEastAsia"/>
                <w:bCs/>
                <w:kern w:val="0"/>
                <w:szCs w:val="28"/>
              </w:rPr>
            </w:pPr>
            <w:r>
              <w:rPr>
                <w:rFonts w:hint="eastAsia" w:eastAsiaTheme="minorEastAsia"/>
                <w:bCs/>
                <w:kern w:val="0"/>
                <w:szCs w:val="28"/>
              </w:rPr>
              <w:t>2）扫描头的调整和标定是通过软件来进行的</w:t>
            </w:r>
          </w:p>
          <w:p>
            <w:pPr>
              <w:snapToGrid w:val="0"/>
              <w:spacing w:line="360" w:lineRule="auto"/>
              <w:jc w:val="left"/>
              <w:rPr>
                <w:rFonts w:eastAsiaTheme="minorEastAsia"/>
                <w:bCs/>
                <w:kern w:val="0"/>
                <w:szCs w:val="28"/>
              </w:rPr>
            </w:pPr>
            <w:r>
              <w:rPr>
                <w:rFonts w:hint="eastAsia" w:eastAsiaTheme="minorEastAsia"/>
                <w:bCs/>
                <w:kern w:val="0"/>
                <w:szCs w:val="28"/>
              </w:rPr>
              <w:t>3）实时显示扫描图像</w:t>
            </w:r>
          </w:p>
          <w:p>
            <w:pPr>
              <w:snapToGrid w:val="0"/>
              <w:spacing w:line="360" w:lineRule="auto"/>
              <w:jc w:val="left"/>
              <w:rPr>
                <w:rFonts w:eastAsiaTheme="minorEastAsia"/>
                <w:bCs/>
                <w:kern w:val="0"/>
                <w:szCs w:val="28"/>
              </w:rPr>
            </w:pPr>
            <w:r>
              <w:rPr>
                <w:rFonts w:hint="eastAsia" w:eastAsiaTheme="minorEastAsia"/>
                <w:bCs/>
                <w:kern w:val="0"/>
                <w:szCs w:val="28"/>
              </w:rPr>
              <w:t>4）在线显示扫描头位置</w:t>
            </w:r>
          </w:p>
          <w:p>
            <w:pPr>
              <w:snapToGrid w:val="0"/>
              <w:spacing w:line="360" w:lineRule="auto"/>
              <w:jc w:val="left"/>
              <w:rPr>
                <w:rFonts w:eastAsiaTheme="minorEastAsia"/>
                <w:bCs/>
                <w:kern w:val="0"/>
                <w:szCs w:val="28"/>
              </w:rPr>
            </w:pPr>
            <w:r>
              <w:rPr>
                <w:rFonts w:hint="eastAsia" w:eastAsiaTheme="minorEastAsia"/>
                <w:bCs/>
                <w:kern w:val="0"/>
                <w:szCs w:val="28"/>
              </w:rPr>
              <w:t>5）标定过程中会有提示和自动监测功能</w:t>
            </w:r>
          </w:p>
          <w:p>
            <w:pPr>
              <w:snapToGrid w:val="0"/>
              <w:spacing w:line="360" w:lineRule="auto"/>
              <w:jc w:val="left"/>
              <w:rPr>
                <w:rFonts w:eastAsiaTheme="minorEastAsia"/>
                <w:bCs/>
                <w:kern w:val="0"/>
                <w:szCs w:val="28"/>
              </w:rPr>
            </w:pPr>
            <w:r>
              <w:rPr>
                <w:rFonts w:hint="eastAsia" w:eastAsiaTheme="minorEastAsia"/>
                <w:bCs/>
                <w:kern w:val="0"/>
                <w:szCs w:val="28"/>
              </w:rPr>
              <w:t>6）三维坐标</w:t>
            </w:r>
          </w:p>
          <w:p>
            <w:pPr>
              <w:snapToGrid w:val="0"/>
              <w:spacing w:line="360" w:lineRule="auto"/>
              <w:jc w:val="left"/>
              <w:rPr>
                <w:rFonts w:eastAsiaTheme="minorEastAsia"/>
                <w:bCs/>
                <w:kern w:val="0"/>
                <w:szCs w:val="28"/>
              </w:rPr>
            </w:pPr>
            <w:r>
              <w:rPr>
                <w:rFonts w:hint="eastAsia" w:eastAsiaTheme="minorEastAsia"/>
                <w:bCs/>
                <w:kern w:val="0"/>
                <w:szCs w:val="28"/>
              </w:rPr>
              <w:t>7）通过参考点或表面特征可以自动拼接</w:t>
            </w:r>
          </w:p>
          <w:p>
            <w:pPr>
              <w:snapToGrid w:val="0"/>
              <w:spacing w:line="360" w:lineRule="auto"/>
              <w:jc w:val="left"/>
              <w:rPr>
                <w:rFonts w:eastAsiaTheme="minorEastAsia"/>
                <w:bCs/>
                <w:kern w:val="0"/>
                <w:szCs w:val="28"/>
              </w:rPr>
            </w:pPr>
            <w:r>
              <w:rPr>
                <w:rFonts w:hint="eastAsia" w:eastAsiaTheme="minorEastAsia"/>
                <w:bCs/>
                <w:kern w:val="0"/>
                <w:szCs w:val="28"/>
              </w:rPr>
              <w:t>8）自动计算网格</w:t>
            </w:r>
          </w:p>
          <w:p>
            <w:pPr>
              <w:snapToGrid w:val="0"/>
              <w:spacing w:line="360" w:lineRule="auto"/>
              <w:jc w:val="left"/>
              <w:rPr>
                <w:rFonts w:eastAsiaTheme="minorEastAsia"/>
                <w:bCs/>
                <w:kern w:val="0"/>
                <w:szCs w:val="28"/>
              </w:rPr>
            </w:pPr>
            <w:r>
              <w:rPr>
                <w:rFonts w:hint="eastAsia" w:eastAsiaTheme="minorEastAsia"/>
                <w:bCs/>
                <w:kern w:val="0"/>
                <w:szCs w:val="28"/>
              </w:rPr>
              <w:t>9）输出STL格式的扫描数据</w:t>
            </w:r>
          </w:p>
          <w:p>
            <w:pPr>
              <w:snapToGrid w:val="0"/>
              <w:spacing w:line="360" w:lineRule="auto"/>
              <w:jc w:val="left"/>
              <w:rPr>
                <w:rFonts w:eastAsiaTheme="minorEastAsia"/>
                <w:bCs/>
                <w:kern w:val="0"/>
                <w:szCs w:val="28"/>
              </w:rPr>
            </w:pPr>
            <w:r>
              <w:rPr>
                <w:rFonts w:hint="eastAsia" w:eastAsiaTheme="minorEastAsia"/>
                <w:bCs/>
                <w:kern w:val="0"/>
                <w:szCs w:val="28"/>
              </w:rPr>
              <w:t>拟合元素（最大内切元素和最小外接元素，高斯计算和切比雪夫计算）</w:t>
            </w:r>
          </w:p>
          <w:p>
            <w:pPr>
              <w:snapToGrid w:val="0"/>
              <w:spacing w:line="360" w:lineRule="auto"/>
              <w:jc w:val="left"/>
              <w:rPr>
                <w:rFonts w:eastAsiaTheme="minorEastAsia"/>
                <w:bCs/>
                <w:kern w:val="0"/>
                <w:szCs w:val="28"/>
              </w:rPr>
            </w:pPr>
            <w:r>
              <w:rPr>
                <w:rFonts w:hint="eastAsia" w:eastAsiaTheme="minorEastAsia"/>
                <w:bCs/>
                <w:kern w:val="0"/>
                <w:szCs w:val="28"/>
              </w:rPr>
              <w:t>10）多截面（根据轴线平行、放射形和沿曲线截面）</w:t>
            </w:r>
          </w:p>
          <w:p>
            <w:pPr>
              <w:snapToGrid w:val="0"/>
              <w:spacing w:line="360" w:lineRule="auto"/>
              <w:jc w:val="left"/>
              <w:rPr>
                <w:rFonts w:eastAsiaTheme="minorEastAsia"/>
                <w:bCs/>
                <w:kern w:val="0"/>
                <w:szCs w:val="28"/>
              </w:rPr>
            </w:pPr>
            <w:r>
              <w:rPr>
                <w:rFonts w:hint="eastAsia" w:eastAsiaTheme="minorEastAsia"/>
                <w:bCs/>
                <w:kern w:val="0"/>
                <w:szCs w:val="28"/>
              </w:rPr>
              <w:t>11）</w:t>
            </w:r>
            <w:r>
              <w:rPr>
                <w:rFonts w:hint="eastAsia" w:eastAsiaTheme="minorEastAsia"/>
                <w:bCs/>
                <w:kern w:val="0"/>
                <w:szCs w:val="28"/>
              </w:rPr>
              <w:tab/>
            </w:r>
            <w:r>
              <w:rPr>
                <w:rFonts w:hint="eastAsia" w:eastAsiaTheme="minorEastAsia"/>
                <w:bCs/>
                <w:kern w:val="0"/>
                <w:szCs w:val="28"/>
              </w:rPr>
              <w:t>距离、角度和虚拟卡尺</w:t>
            </w:r>
          </w:p>
          <w:p>
            <w:pPr>
              <w:snapToGrid w:val="0"/>
              <w:spacing w:line="360" w:lineRule="auto"/>
              <w:jc w:val="left"/>
              <w:rPr>
                <w:rFonts w:eastAsiaTheme="minorEastAsia"/>
                <w:bCs/>
                <w:kern w:val="0"/>
                <w:szCs w:val="28"/>
              </w:rPr>
            </w:pPr>
            <w:r>
              <w:rPr>
                <w:rFonts w:hint="eastAsia" w:eastAsiaTheme="minorEastAsia"/>
                <w:bCs/>
                <w:kern w:val="0"/>
                <w:szCs w:val="28"/>
              </w:rPr>
              <w:t>12）相交、投影、垂直投射、平均值</w:t>
            </w:r>
          </w:p>
          <w:p>
            <w:pPr>
              <w:snapToGrid w:val="0"/>
              <w:spacing w:line="360" w:lineRule="auto"/>
              <w:jc w:val="left"/>
              <w:rPr>
                <w:rFonts w:eastAsiaTheme="minorEastAsia"/>
                <w:bCs/>
                <w:kern w:val="0"/>
                <w:szCs w:val="28"/>
              </w:rPr>
            </w:pPr>
            <w:r>
              <w:rPr>
                <w:rFonts w:hint="eastAsia" w:eastAsiaTheme="minorEastAsia"/>
                <w:bCs/>
                <w:kern w:val="0"/>
                <w:szCs w:val="28"/>
              </w:rPr>
              <w:t>13）标称/实际元素的比较</w:t>
            </w:r>
          </w:p>
          <w:p>
            <w:pPr>
              <w:snapToGrid w:val="0"/>
              <w:spacing w:line="360" w:lineRule="auto"/>
              <w:jc w:val="left"/>
              <w:rPr>
                <w:rFonts w:eastAsiaTheme="minorEastAsia"/>
                <w:bCs/>
                <w:kern w:val="0"/>
                <w:szCs w:val="28"/>
              </w:rPr>
            </w:pPr>
            <w:r>
              <w:rPr>
                <w:rFonts w:hint="eastAsia" w:eastAsiaTheme="minorEastAsia"/>
                <w:bCs/>
                <w:kern w:val="0"/>
                <w:szCs w:val="28"/>
              </w:rPr>
              <w:t>14）输入标准格式的CAD数据：IGES, STEP,STL</w:t>
            </w:r>
          </w:p>
          <w:p>
            <w:pPr>
              <w:snapToGrid w:val="0"/>
              <w:spacing w:line="360" w:lineRule="auto"/>
              <w:jc w:val="left"/>
              <w:rPr>
                <w:rFonts w:eastAsiaTheme="minorEastAsia"/>
                <w:bCs/>
                <w:kern w:val="0"/>
                <w:szCs w:val="28"/>
              </w:rPr>
            </w:pPr>
            <w:r>
              <w:rPr>
                <w:rFonts w:hint="eastAsia" w:eastAsiaTheme="minorEastAsia"/>
                <w:bCs/>
                <w:kern w:val="0"/>
                <w:szCs w:val="28"/>
              </w:rPr>
              <w:t>15）自动预对齐</w:t>
            </w:r>
          </w:p>
          <w:p>
            <w:pPr>
              <w:snapToGrid w:val="0"/>
              <w:spacing w:line="360" w:lineRule="auto"/>
              <w:jc w:val="left"/>
              <w:rPr>
                <w:rFonts w:eastAsiaTheme="minorEastAsia"/>
                <w:bCs/>
                <w:kern w:val="0"/>
                <w:szCs w:val="28"/>
              </w:rPr>
            </w:pPr>
            <w:r>
              <w:rPr>
                <w:rFonts w:hint="eastAsia" w:eastAsiaTheme="minorEastAsia"/>
                <w:bCs/>
                <w:kern w:val="0"/>
                <w:szCs w:val="28"/>
              </w:rPr>
              <w:t>16）3-2-1对齐、最佳拟合、RPS对齐、局部坐标系</w:t>
            </w:r>
          </w:p>
          <w:p>
            <w:pPr>
              <w:snapToGrid w:val="0"/>
              <w:spacing w:line="360" w:lineRule="auto"/>
              <w:jc w:val="left"/>
              <w:rPr>
                <w:rFonts w:eastAsiaTheme="minorEastAsia"/>
                <w:bCs/>
                <w:kern w:val="0"/>
                <w:szCs w:val="28"/>
              </w:rPr>
            </w:pPr>
            <w:r>
              <w:rPr>
                <w:rFonts w:hint="eastAsia" w:eastAsiaTheme="minorEastAsia"/>
                <w:bCs/>
                <w:kern w:val="0"/>
                <w:szCs w:val="28"/>
              </w:rPr>
              <w:t>17）在CAD上定义公差</w:t>
            </w:r>
          </w:p>
          <w:p>
            <w:pPr>
              <w:snapToGrid w:val="0"/>
              <w:spacing w:line="360" w:lineRule="auto"/>
              <w:jc w:val="left"/>
              <w:rPr>
                <w:rFonts w:eastAsiaTheme="minorEastAsia"/>
                <w:bCs/>
                <w:kern w:val="0"/>
                <w:szCs w:val="28"/>
              </w:rPr>
            </w:pPr>
            <w:r>
              <w:rPr>
                <w:rFonts w:hint="eastAsia" w:eastAsiaTheme="minorEastAsia"/>
                <w:bCs/>
                <w:kern w:val="0"/>
                <w:szCs w:val="28"/>
              </w:rPr>
              <w:t>18）对比实际数据和标称数据</w:t>
            </w:r>
          </w:p>
          <w:p>
            <w:pPr>
              <w:snapToGrid w:val="0"/>
              <w:spacing w:line="360" w:lineRule="auto"/>
              <w:jc w:val="left"/>
              <w:rPr>
                <w:rFonts w:eastAsiaTheme="minorEastAsia"/>
                <w:bCs/>
                <w:kern w:val="0"/>
                <w:szCs w:val="28"/>
              </w:rPr>
            </w:pPr>
            <w:r>
              <w:rPr>
                <w:rFonts w:hint="eastAsia" w:eastAsiaTheme="minorEastAsia"/>
                <w:bCs/>
                <w:kern w:val="0"/>
                <w:szCs w:val="28"/>
              </w:rPr>
              <w:t>19）色彩偏差图，可选择内置图例或自定义图例</w:t>
            </w:r>
          </w:p>
          <w:p>
            <w:pPr>
              <w:snapToGrid w:val="0"/>
              <w:spacing w:line="360" w:lineRule="auto"/>
              <w:jc w:val="left"/>
              <w:rPr>
                <w:rFonts w:eastAsiaTheme="minorEastAsia"/>
                <w:bCs/>
                <w:kern w:val="0"/>
                <w:szCs w:val="28"/>
              </w:rPr>
            </w:pPr>
            <w:r>
              <w:rPr>
                <w:rFonts w:hint="eastAsia" w:eastAsiaTheme="minorEastAsia"/>
                <w:bCs/>
                <w:kern w:val="0"/>
                <w:szCs w:val="28"/>
              </w:rPr>
              <w:t>20）截面色彩偏差图，可进行偏差标注</w:t>
            </w:r>
          </w:p>
          <w:p>
            <w:pPr>
              <w:snapToGrid w:val="0"/>
              <w:spacing w:line="360" w:lineRule="auto"/>
              <w:jc w:val="left"/>
              <w:rPr>
                <w:rFonts w:eastAsiaTheme="minorEastAsia"/>
                <w:bCs/>
                <w:kern w:val="0"/>
                <w:szCs w:val="28"/>
              </w:rPr>
            </w:pPr>
            <w:r>
              <w:rPr>
                <w:rFonts w:hint="eastAsia" w:eastAsiaTheme="minorEastAsia"/>
                <w:bCs/>
                <w:kern w:val="0"/>
                <w:szCs w:val="28"/>
              </w:rPr>
              <w:t>21）材料厚度计算</w:t>
            </w:r>
          </w:p>
          <w:p>
            <w:pPr>
              <w:snapToGrid w:val="0"/>
              <w:spacing w:line="360" w:lineRule="auto"/>
              <w:jc w:val="left"/>
              <w:rPr>
                <w:rFonts w:eastAsiaTheme="minorEastAsia"/>
                <w:bCs/>
                <w:kern w:val="0"/>
                <w:szCs w:val="28"/>
              </w:rPr>
            </w:pPr>
            <w:r>
              <w:rPr>
                <w:rFonts w:hint="eastAsia" w:eastAsiaTheme="minorEastAsia"/>
                <w:bCs/>
                <w:kern w:val="0"/>
                <w:szCs w:val="28"/>
              </w:rPr>
              <w:t>22）智创键：使分配测量原理和进行检测更方便</w:t>
            </w:r>
          </w:p>
          <w:p>
            <w:pPr>
              <w:snapToGrid w:val="0"/>
              <w:spacing w:line="360" w:lineRule="auto"/>
              <w:jc w:val="left"/>
              <w:rPr>
                <w:rFonts w:eastAsiaTheme="minorEastAsia"/>
                <w:bCs/>
                <w:kern w:val="0"/>
                <w:szCs w:val="28"/>
              </w:rPr>
            </w:pPr>
            <w:r>
              <w:rPr>
                <w:rFonts w:hint="eastAsia" w:eastAsiaTheme="minorEastAsia"/>
                <w:bCs/>
                <w:kern w:val="0"/>
                <w:szCs w:val="28"/>
              </w:rPr>
              <w:t>23）根据局部坐标系进行尺寸标注</w:t>
            </w:r>
          </w:p>
          <w:p>
            <w:pPr>
              <w:snapToGrid w:val="0"/>
              <w:spacing w:line="360" w:lineRule="auto"/>
              <w:jc w:val="left"/>
              <w:rPr>
                <w:rFonts w:eastAsiaTheme="minorEastAsia"/>
                <w:bCs/>
                <w:kern w:val="0"/>
                <w:szCs w:val="28"/>
              </w:rPr>
            </w:pPr>
            <w:r>
              <w:rPr>
                <w:rFonts w:hint="eastAsia" w:eastAsiaTheme="minorEastAsia"/>
                <w:bCs/>
                <w:kern w:val="0"/>
                <w:szCs w:val="28"/>
              </w:rPr>
              <w:t>24）根据DIN ISO 1101 和 ASME Y14.5标准检测形位公差</w:t>
            </w:r>
          </w:p>
          <w:p>
            <w:pPr>
              <w:snapToGrid w:val="0"/>
              <w:spacing w:line="360" w:lineRule="auto"/>
              <w:jc w:val="left"/>
              <w:rPr>
                <w:rFonts w:eastAsiaTheme="minorEastAsia"/>
                <w:bCs/>
                <w:kern w:val="0"/>
                <w:szCs w:val="28"/>
              </w:rPr>
            </w:pPr>
            <w:r>
              <w:rPr>
                <w:rFonts w:hint="eastAsia" w:eastAsiaTheme="minorEastAsia"/>
                <w:bCs/>
                <w:kern w:val="0"/>
                <w:szCs w:val="28"/>
              </w:rPr>
              <w:t>25）报告模块</w:t>
            </w:r>
          </w:p>
          <w:p>
            <w:pPr>
              <w:snapToGrid w:val="0"/>
              <w:spacing w:line="360" w:lineRule="auto"/>
              <w:jc w:val="left"/>
              <w:rPr>
                <w:rFonts w:eastAsiaTheme="minorEastAsia"/>
                <w:bCs/>
                <w:kern w:val="0"/>
                <w:szCs w:val="28"/>
              </w:rPr>
            </w:pPr>
            <w:r>
              <w:rPr>
                <w:rFonts w:hint="eastAsia" w:eastAsiaTheme="minorEastAsia"/>
                <w:bCs/>
                <w:kern w:val="0"/>
                <w:szCs w:val="28"/>
              </w:rPr>
              <w:t>26）生成报告（表格、截图、画中画、目录、封面）</w:t>
            </w:r>
          </w:p>
          <w:p>
            <w:pPr>
              <w:snapToGrid w:val="0"/>
              <w:spacing w:line="360" w:lineRule="auto"/>
              <w:jc w:val="left"/>
              <w:rPr>
                <w:rFonts w:eastAsiaTheme="minorEastAsia"/>
                <w:bCs/>
                <w:kern w:val="0"/>
                <w:szCs w:val="28"/>
              </w:rPr>
            </w:pPr>
            <w:r>
              <w:rPr>
                <w:rFonts w:hint="eastAsia" w:eastAsiaTheme="minorEastAsia"/>
                <w:bCs/>
                <w:kern w:val="0"/>
                <w:szCs w:val="28"/>
              </w:rPr>
              <w:t>27）显示对齐信息</w:t>
            </w:r>
          </w:p>
          <w:p>
            <w:pPr>
              <w:snapToGrid w:val="0"/>
              <w:spacing w:line="360" w:lineRule="auto"/>
              <w:jc w:val="left"/>
              <w:rPr>
                <w:rFonts w:eastAsiaTheme="minorEastAsia"/>
                <w:bCs/>
                <w:kern w:val="0"/>
                <w:szCs w:val="28"/>
              </w:rPr>
            </w:pPr>
            <w:r>
              <w:rPr>
                <w:rFonts w:hint="eastAsia" w:eastAsiaTheme="minorEastAsia"/>
                <w:bCs/>
                <w:kern w:val="0"/>
                <w:szCs w:val="28"/>
              </w:rPr>
              <w:t>28）输出报告形式：CSV表格，PNG和PDF</w:t>
            </w:r>
          </w:p>
          <w:p>
            <w:pPr>
              <w:snapToGrid w:val="0"/>
              <w:spacing w:line="360" w:lineRule="auto"/>
              <w:jc w:val="left"/>
              <w:rPr>
                <w:rFonts w:eastAsiaTheme="minorEastAsia"/>
                <w:bCs/>
                <w:kern w:val="0"/>
                <w:szCs w:val="28"/>
              </w:rPr>
            </w:pPr>
            <w:r>
              <w:rPr>
                <w:rFonts w:hint="eastAsia" w:eastAsiaTheme="minorEastAsia"/>
                <w:bCs/>
                <w:kern w:val="0"/>
                <w:szCs w:val="28"/>
              </w:rPr>
              <w:t>4．设备的安全保护设施</w:t>
            </w:r>
          </w:p>
          <w:p>
            <w:pPr>
              <w:snapToGrid w:val="0"/>
              <w:spacing w:line="360" w:lineRule="auto"/>
              <w:jc w:val="left"/>
              <w:rPr>
                <w:rFonts w:eastAsiaTheme="minorEastAsia"/>
                <w:bCs/>
                <w:kern w:val="0"/>
                <w:szCs w:val="28"/>
              </w:rPr>
            </w:pPr>
            <w:r>
              <w:rPr>
                <w:rFonts w:hint="eastAsia" w:eastAsiaTheme="minorEastAsia"/>
                <w:bCs/>
                <w:kern w:val="0"/>
                <w:szCs w:val="28"/>
              </w:rPr>
              <w:t>4.1设备的安全防护技术条件应符合中国国家标准或相关的国际标准。</w:t>
            </w:r>
          </w:p>
          <w:p>
            <w:pPr>
              <w:snapToGrid w:val="0"/>
              <w:spacing w:line="360" w:lineRule="auto"/>
              <w:jc w:val="left"/>
              <w:rPr>
                <w:rFonts w:eastAsiaTheme="minorEastAsia"/>
                <w:bCs/>
                <w:kern w:val="0"/>
                <w:szCs w:val="28"/>
              </w:rPr>
            </w:pPr>
            <w:r>
              <w:rPr>
                <w:rFonts w:hint="eastAsia" w:eastAsiaTheme="minorEastAsia"/>
                <w:bCs/>
                <w:kern w:val="0"/>
                <w:szCs w:val="28"/>
              </w:rPr>
              <w:t>4.2设备具有防漏电，触电保护装置。</w:t>
            </w:r>
          </w:p>
          <w:p>
            <w:pPr>
              <w:snapToGrid w:val="0"/>
              <w:spacing w:line="360" w:lineRule="auto"/>
              <w:jc w:val="left"/>
              <w:rPr>
                <w:rFonts w:eastAsiaTheme="minorEastAsia"/>
                <w:bCs/>
                <w:kern w:val="0"/>
                <w:szCs w:val="28"/>
              </w:rPr>
            </w:pPr>
            <w:r>
              <w:rPr>
                <w:rFonts w:hint="eastAsia" w:eastAsiaTheme="minorEastAsia"/>
                <w:bCs/>
                <w:kern w:val="0"/>
                <w:szCs w:val="28"/>
              </w:rPr>
              <w:t>4.3设备须适合当地标准，当安全标准与本技术规范的其它标准发生冲突时，安全标准具有优先权。</w:t>
            </w:r>
          </w:p>
          <w:p>
            <w:pPr>
              <w:snapToGrid w:val="0"/>
              <w:spacing w:line="360" w:lineRule="auto"/>
              <w:jc w:val="left"/>
              <w:rPr>
                <w:rFonts w:eastAsiaTheme="minorEastAsia"/>
                <w:bCs/>
                <w:kern w:val="0"/>
                <w:szCs w:val="28"/>
              </w:rPr>
            </w:pPr>
            <w:r>
              <w:rPr>
                <w:rFonts w:hint="eastAsia" w:eastAsiaTheme="minorEastAsia"/>
                <w:bCs/>
                <w:kern w:val="0"/>
                <w:szCs w:val="28"/>
              </w:rPr>
              <w:t>4.4所有的安全说明书及安全标志须用国际通用符号标识，或用中、英文两种文字标识，在设备发运时，所有安全标志须贴好。</w:t>
            </w:r>
          </w:p>
          <w:p>
            <w:pPr>
              <w:snapToGrid w:val="0"/>
              <w:spacing w:line="360" w:lineRule="auto"/>
              <w:jc w:val="left"/>
              <w:rPr>
                <w:rFonts w:eastAsiaTheme="minorEastAsia"/>
                <w:bCs/>
                <w:kern w:val="0"/>
                <w:szCs w:val="28"/>
              </w:rPr>
            </w:pPr>
            <w:r>
              <w:rPr>
                <w:rFonts w:hint="eastAsia" w:eastAsiaTheme="minorEastAsia"/>
                <w:bCs/>
                <w:kern w:val="0"/>
                <w:szCs w:val="28"/>
              </w:rPr>
              <w:t>5．设备的其它要求：</w:t>
            </w:r>
          </w:p>
          <w:p>
            <w:pPr>
              <w:snapToGrid w:val="0"/>
              <w:spacing w:line="360" w:lineRule="auto"/>
              <w:jc w:val="left"/>
              <w:rPr>
                <w:rFonts w:eastAsiaTheme="minorEastAsia"/>
                <w:bCs/>
                <w:kern w:val="0"/>
                <w:szCs w:val="28"/>
              </w:rPr>
            </w:pPr>
            <w:r>
              <w:rPr>
                <w:rFonts w:hint="eastAsia" w:eastAsiaTheme="minorEastAsia"/>
                <w:bCs/>
                <w:kern w:val="0"/>
                <w:szCs w:val="28"/>
              </w:rPr>
              <w:t>设备控制系统在遇到突然停电或其它意外事故时具备自我保护措施及数据不丢失的能力。</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6</w:t>
            </w:r>
            <w:r>
              <w:rPr>
                <w:rFonts w:ascii="Times New Roman" w:hAnsi="Times New Roman" w:cs="Times New Roman" w:eastAsiaTheme="minorEastAsia"/>
                <w:bCs/>
                <w:kern w:val="0"/>
                <w:szCs w:val="28"/>
              </w:rPr>
              <w:t>.</w:t>
            </w:r>
            <w:r>
              <w:rPr>
                <w:rFonts w:hint="eastAsia" w:ascii="Times New Roman" w:hAnsi="Times New Roman" w:cs="Times New Roman" w:eastAsiaTheme="minorEastAsia"/>
                <w:bCs/>
                <w:kern w:val="0"/>
                <w:szCs w:val="28"/>
              </w:rPr>
              <w:t>其他</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6</w:t>
            </w:r>
            <w:r>
              <w:rPr>
                <w:rFonts w:ascii="Times New Roman" w:hAnsi="Times New Roman" w:cs="Times New Roman" w:eastAsiaTheme="minorEastAsia"/>
                <w:bCs/>
                <w:kern w:val="0"/>
                <w:szCs w:val="28"/>
              </w:rPr>
              <w:t>.</w:t>
            </w:r>
            <w:r>
              <w:rPr>
                <w:rFonts w:hint="eastAsia" w:ascii="Times New Roman" w:hAnsi="Times New Roman" w:cs="Times New Roman" w:eastAsiaTheme="minorEastAsia"/>
                <w:bCs/>
                <w:kern w:val="0"/>
                <w:szCs w:val="28"/>
              </w:rPr>
              <w:t>1培训内容包括：现场5天装机、操作、保养等培训，培训对象3-5人；随时提供在线服务和培训。</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6</w:t>
            </w:r>
            <w:r>
              <w:rPr>
                <w:rFonts w:ascii="Times New Roman" w:hAnsi="Times New Roman" w:cs="Times New Roman" w:eastAsiaTheme="minorEastAsia"/>
                <w:bCs/>
                <w:kern w:val="0"/>
                <w:szCs w:val="28"/>
              </w:rPr>
              <w:t>.</w:t>
            </w:r>
            <w:r>
              <w:rPr>
                <w:rFonts w:hint="eastAsia" w:ascii="Times New Roman" w:hAnsi="Times New Roman" w:cs="Times New Roman" w:eastAsiaTheme="minorEastAsia"/>
                <w:bCs/>
                <w:kern w:val="0"/>
                <w:szCs w:val="28"/>
              </w:rPr>
              <w:t>2三包政策：设备安装好后，厂方提供一年免费保修，提供终身维修服务。</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套</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napToGrid w:val="0"/>
              <w:spacing w:line="360" w:lineRule="auto"/>
              <w:jc w:val="center"/>
              <w:rPr>
                <w:rFonts w:eastAsiaTheme="minorEastAsia"/>
                <w:bCs/>
                <w:kern w:val="0"/>
                <w:szCs w:val="28"/>
              </w:rPr>
            </w:pPr>
          </w:p>
        </w:tc>
        <w:tc>
          <w:tcPr>
            <w:tcW w:w="1276" w:type="dxa"/>
            <w:vMerge w:val="continue"/>
            <w:vAlign w:val="center"/>
          </w:tcPr>
          <w:p>
            <w:pPr>
              <w:snapToGrid w:val="0"/>
              <w:spacing w:line="360" w:lineRule="auto"/>
              <w:jc w:val="center"/>
              <w:rPr>
                <w:rFonts w:eastAsiaTheme="minorEastAsia"/>
                <w:bCs/>
                <w:kern w:val="0"/>
                <w:szCs w:val="28"/>
              </w:rPr>
            </w:pPr>
          </w:p>
        </w:tc>
        <w:tc>
          <w:tcPr>
            <w:tcW w:w="1105"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西门子NX软件</w:t>
            </w:r>
          </w:p>
        </w:tc>
        <w:tc>
          <w:tcPr>
            <w:tcW w:w="4423" w:type="dxa"/>
            <w:vAlign w:val="center"/>
          </w:tcPr>
          <w:p>
            <w:pPr>
              <w:snapToGrid w:val="0"/>
              <w:spacing w:line="360" w:lineRule="auto"/>
              <w:jc w:val="left"/>
              <w:rPr>
                <w:rFonts w:eastAsiaTheme="minorEastAsia"/>
                <w:bCs/>
                <w:kern w:val="0"/>
                <w:szCs w:val="28"/>
              </w:rPr>
            </w:pPr>
            <w:r>
              <w:rPr>
                <w:rFonts w:hint="eastAsia" w:eastAsiaTheme="minorEastAsia"/>
                <w:bCs/>
                <w:kern w:val="0"/>
                <w:szCs w:val="28"/>
              </w:rPr>
              <w:t>1．软包含多种建模功能用于设计模型的编辑和修改，包含体素建模、参数化建模、特征建模、曲面建模、同步建模等。</w:t>
            </w:r>
          </w:p>
          <w:p>
            <w:pPr>
              <w:snapToGrid w:val="0"/>
              <w:spacing w:line="360" w:lineRule="auto"/>
              <w:jc w:val="left"/>
              <w:rPr>
                <w:rFonts w:eastAsiaTheme="minorEastAsia"/>
                <w:bCs/>
                <w:kern w:val="0"/>
                <w:szCs w:val="28"/>
              </w:rPr>
            </w:pPr>
            <w:r>
              <w:rPr>
                <w:rFonts w:hint="eastAsia" w:eastAsiaTheme="minorEastAsia"/>
                <w:bCs/>
                <w:kern w:val="0"/>
                <w:szCs w:val="28"/>
              </w:rPr>
              <w:t>2．可以同一软件内实现端到端的增材制造流程。</w:t>
            </w:r>
          </w:p>
          <w:p>
            <w:pPr>
              <w:snapToGrid w:val="0"/>
              <w:spacing w:line="360" w:lineRule="auto"/>
              <w:jc w:val="left"/>
              <w:rPr>
                <w:rFonts w:eastAsiaTheme="minorEastAsia"/>
                <w:bCs/>
                <w:kern w:val="0"/>
                <w:szCs w:val="28"/>
              </w:rPr>
            </w:pPr>
            <w:r>
              <w:rPr>
                <w:rFonts w:hint="eastAsia" w:eastAsiaTheme="minorEastAsia"/>
                <w:bCs/>
                <w:kern w:val="0"/>
                <w:szCs w:val="28"/>
              </w:rPr>
              <w:t>3．可以实现拓扑优化并进行处理。</w:t>
            </w:r>
          </w:p>
          <w:p>
            <w:pPr>
              <w:snapToGrid w:val="0"/>
              <w:spacing w:line="360" w:lineRule="auto"/>
              <w:jc w:val="left"/>
              <w:rPr>
                <w:rFonts w:eastAsiaTheme="minorEastAsia"/>
                <w:bCs/>
                <w:kern w:val="0"/>
                <w:szCs w:val="28"/>
              </w:rPr>
            </w:pPr>
            <w:r>
              <w:rPr>
                <w:rFonts w:hint="eastAsia" w:eastAsiaTheme="minorEastAsia"/>
                <w:bCs/>
                <w:kern w:val="0"/>
                <w:szCs w:val="28"/>
              </w:rPr>
              <w:t>4．可以实现小平面体（STL）的直接编辑处理。</w:t>
            </w:r>
          </w:p>
          <w:p>
            <w:pPr>
              <w:snapToGrid w:val="0"/>
              <w:spacing w:line="360" w:lineRule="auto"/>
              <w:jc w:val="left"/>
              <w:rPr>
                <w:rFonts w:eastAsiaTheme="minorEastAsia"/>
                <w:bCs/>
                <w:kern w:val="0"/>
                <w:szCs w:val="28"/>
              </w:rPr>
            </w:pPr>
            <w:r>
              <w:rPr>
                <w:rFonts w:hint="eastAsia" w:eastAsiaTheme="minorEastAsia"/>
                <w:bCs/>
                <w:kern w:val="0"/>
                <w:szCs w:val="28"/>
              </w:rPr>
              <w:t>5．可以同一软件内实现运动仿真、有限元仿真。</w:t>
            </w:r>
          </w:p>
          <w:p>
            <w:pPr>
              <w:snapToGrid w:val="0"/>
              <w:spacing w:line="360" w:lineRule="auto"/>
              <w:jc w:val="left"/>
              <w:rPr>
                <w:rFonts w:eastAsiaTheme="minorEastAsia"/>
                <w:bCs/>
                <w:kern w:val="0"/>
                <w:szCs w:val="28"/>
              </w:rPr>
            </w:pPr>
            <w:r>
              <w:rPr>
                <w:rFonts w:hint="eastAsia" w:eastAsiaTheme="minorEastAsia"/>
                <w:bCs/>
                <w:kern w:val="0"/>
                <w:szCs w:val="28"/>
              </w:rPr>
              <w:t>6．可以同一软件内实现从设计到加工的全流程操作。</w:t>
            </w:r>
          </w:p>
          <w:p>
            <w:pPr>
              <w:snapToGrid w:val="0"/>
              <w:spacing w:line="360" w:lineRule="auto"/>
              <w:jc w:val="left"/>
              <w:rPr>
                <w:rFonts w:eastAsiaTheme="minorEastAsia"/>
                <w:bCs/>
                <w:kern w:val="0"/>
                <w:szCs w:val="28"/>
              </w:rPr>
            </w:pPr>
            <w:r>
              <w:rPr>
                <w:rFonts w:hint="eastAsia" w:eastAsiaTheme="minorEastAsia"/>
                <w:bCs/>
                <w:kern w:val="0"/>
                <w:szCs w:val="28"/>
              </w:rPr>
              <w:t>7．可以生成符合SO和GB 标准的工程图纸。</w:t>
            </w:r>
          </w:p>
          <w:p>
            <w:pPr>
              <w:snapToGrid w:val="0"/>
              <w:spacing w:line="360" w:lineRule="auto"/>
              <w:jc w:val="left"/>
              <w:rPr>
                <w:rFonts w:eastAsiaTheme="minorEastAsia"/>
                <w:bCs/>
                <w:kern w:val="0"/>
                <w:szCs w:val="28"/>
              </w:rPr>
            </w:pPr>
            <w:r>
              <w:rPr>
                <w:rFonts w:hint="eastAsia" w:eastAsiaTheme="minorEastAsia"/>
                <w:bCs/>
                <w:kern w:val="0"/>
                <w:szCs w:val="28"/>
              </w:rPr>
              <w:t>8．可以对零部件赋予材料并实现实时光线追踪渲染。</w:t>
            </w:r>
          </w:p>
          <w:p>
            <w:pPr>
              <w:snapToGrid w:val="0"/>
              <w:spacing w:line="360" w:lineRule="auto"/>
              <w:jc w:val="left"/>
              <w:rPr>
                <w:rFonts w:eastAsiaTheme="minorEastAsia"/>
                <w:bCs/>
                <w:kern w:val="0"/>
                <w:szCs w:val="28"/>
              </w:rPr>
            </w:pPr>
            <w:r>
              <w:rPr>
                <w:rFonts w:hint="eastAsia" w:eastAsiaTheme="minorEastAsia"/>
                <w:bCs/>
                <w:kern w:val="0"/>
                <w:szCs w:val="28"/>
              </w:rPr>
              <w:t>9．软件完全支持简体中文，如中文路径、中文界面、中文帮助等。</w:t>
            </w:r>
          </w:p>
          <w:p>
            <w:pPr>
              <w:snapToGrid w:val="0"/>
              <w:spacing w:line="360" w:lineRule="auto"/>
              <w:jc w:val="left"/>
              <w:rPr>
                <w:rFonts w:eastAsiaTheme="minorEastAsia"/>
                <w:bCs/>
                <w:kern w:val="0"/>
                <w:szCs w:val="28"/>
              </w:rPr>
            </w:pPr>
            <w:r>
              <w:rPr>
                <w:rFonts w:hint="eastAsia" w:eastAsiaTheme="minorEastAsia"/>
                <w:bCs/>
                <w:kern w:val="0"/>
                <w:szCs w:val="28"/>
              </w:rPr>
              <w:t>10．软件具备通用的数据接口，能读取STEP、IGES、Parasolid、STL 、DXF、DWG等格式文件。</w:t>
            </w:r>
          </w:p>
          <w:p>
            <w:pPr>
              <w:snapToGrid w:val="0"/>
              <w:spacing w:line="360" w:lineRule="auto"/>
              <w:jc w:val="left"/>
              <w:rPr>
                <w:rFonts w:eastAsiaTheme="minorEastAsia"/>
                <w:bCs/>
                <w:kern w:val="0"/>
                <w:szCs w:val="28"/>
              </w:rPr>
            </w:pPr>
            <w:r>
              <w:rPr>
                <w:rFonts w:hint="eastAsia" w:eastAsiaTheme="minorEastAsia"/>
                <w:bCs/>
                <w:kern w:val="0"/>
                <w:szCs w:val="28"/>
              </w:rPr>
              <w:t>11．软件必须支持主流的64位WINDOWS操作系统，能够在当前主流硬件平台运行。安装、维护方便，稳定可靠。</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1</w:t>
            </w:r>
            <w:r>
              <w:rPr>
                <w:rFonts w:ascii="Times New Roman" w:hAnsi="Times New Roman" w:cs="Times New Roman" w:eastAsiaTheme="minorEastAsia"/>
                <w:bCs/>
                <w:kern w:val="0"/>
                <w:szCs w:val="28"/>
              </w:rPr>
              <w:t>2.</w:t>
            </w:r>
            <w:r>
              <w:rPr>
                <w:rFonts w:hint="eastAsia" w:ascii="Times New Roman" w:hAnsi="Times New Roman" w:cs="Times New Roman" w:eastAsiaTheme="minorEastAsia"/>
                <w:bCs/>
                <w:kern w:val="0"/>
                <w:szCs w:val="28"/>
              </w:rPr>
              <w:t>其他</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1</w:t>
            </w:r>
            <w:r>
              <w:rPr>
                <w:rFonts w:ascii="Times New Roman" w:hAnsi="Times New Roman" w:cs="Times New Roman" w:eastAsiaTheme="minorEastAsia"/>
                <w:bCs/>
                <w:kern w:val="0"/>
                <w:szCs w:val="28"/>
              </w:rPr>
              <w:t>2.1</w:t>
            </w:r>
            <w:r>
              <w:rPr>
                <w:rFonts w:hint="eastAsia" w:ascii="Times New Roman" w:hAnsi="Times New Roman" w:cs="Times New Roman" w:eastAsiaTheme="minorEastAsia"/>
                <w:bCs/>
                <w:kern w:val="0"/>
                <w:szCs w:val="28"/>
              </w:rPr>
              <w:t>NX &amp; AM 基础培训</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本课程提供NX CAD/CAM/CAE/增材基础学习，以便掌握大赛增材制造后续相关的学习内容</w:t>
            </w:r>
          </w:p>
          <w:p>
            <w:pPr>
              <w:pStyle w:val="2"/>
              <w:spacing w:line="360" w:lineRule="auto"/>
              <w:rPr>
                <w:rFonts w:ascii="Times New Roman" w:hAnsi="Times New Roman" w:cs="Times New Roman" w:eastAsiaTheme="minorEastAsia"/>
                <w:bCs/>
                <w:kern w:val="0"/>
                <w:szCs w:val="28"/>
              </w:rPr>
            </w:pPr>
            <w:r>
              <w:rPr>
                <w:rFonts w:ascii="Times New Roman" w:hAnsi="Times New Roman" w:cs="Times New Roman" w:eastAsiaTheme="minorEastAsia"/>
                <w:bCs/>
                <w:kern w:val="0"/>
                <w:szCs w:val="28"/>
              </w:rPr>
              <w:t xml:space="preserve"> </w:t>
            </w:r>
            <w:r>
              <w:rPr>
                <w:rFonts w:hint="eastAsia" w:ascii="Times New Roman" w:hAnsi="Times New Roman" w:cs="Times New Roman" w:eastAsiaTheme="minorEastAsia"/>
                <w:bCs/>
                <w:kern w:val="0"/>
                <w:szCs w:val="28"/>
              </w:rPr>
              <w:t>建模</w:t>
            </w:r>
            <w:r>
              <w:rPr>
                <w:rFonts w:ascii="Times New Roman" w:hAnsi="Times New Roman" w:cs="Times New Roman" w:eastAsiaTheme="minorEastAsia"/>
                <w:bCs/>
                <w:kern w:val="0"/>
                <w:szCs w:val="28"/>
              </w:rPr>
              <w:t>I(Modeling I)</w:t>
            </w:r>
            <w:r>
              <w:rPr>
                <w:rFonts w:hint="eastAsia" w:ascii="Times New Roman" w:hAnsi="Times New Roman" w:cs="Times New Roman" w:eastAsiaTheme="minorEastAsia"/>
                <w:bCs/>
                <w:kern w:val="0"/>
                <w:szCs w:val="28"/>
              </w:rPr>
              <w:t>、建模</w:t>
            </w:r>
            <w:r>
              <w:rPr>
                <w:rFonts w:ascii="Times New Roman" w:hAnsi="Times New Roman" w:cs="Times New Roman" w:eastAsiaTheme="minorEastAsia"/>
                <w:bCs/>
                <w:kern w:val="0"/>
                <w:szCs w:val="28"/>
              </w:rPr>
              <w:t>II(Modeling II)</w:t>
            </w:r>
            <w:r>
              <w:rPr>
                <w:rFonts w:hint="eastAsia" w:ascii="Times New Roman" w:hAnsi="Times New Roman" w:cs="Times New Roman" w:eastAsiaTheme="minorEastAsia"/>
                <w:bCs/>
                <w:kern w:val="0"/>
                <w:szCs w:val="28"/>
              </w:rPr>
              <w:t>、装配设计</w:t>
            </w:r>
            <w:r>
              <w:rPr>
                <w:rFonts w:ascii="Times New Roman" w:hAnsi="Times New Roman" w:cs="Times New Roman" w:eastAsiaTheme="minorEastAsia"/>
                <w:bCs/>
                <w:kern w:val="0"/>
                <w:szCs w:val="28"/>
              </w:rPr>
              <w:t>(Assembly design)</w:t>
            </w:r>
            <w:r>
              <w:rPr>
                <w:rFonts w:hint="eastAsia" w:ascii="Times New Roman" w:hAnsi="Times New Roman" w:cs="Times New Roman" w:eastAsiaTheme="minorEastAsia"/>
                <w:bCs/>
                <w:kern w:val="0"/>
                <w:szCs w:val="28"/>
              </w:rPr>
              <w:t>、工程图I(Drafting I)、基本曲面</w:t>
            </w:r>
          </w:p>
          <w:p>
            <w:pPr>
              <w:pStyle w:val="2"/>
              <w:spacing w:line="360" w:lineRule="auto"/>
              <w:rPr>
                <w:rFonts w:ascii="Times New Roman" w:hAnsi="Times New Roman" w:cs="Times New Roman" w:eastAsiaTheme="minorEastAsia"/>
                <w:bCs/>
                <w:kern w:val="0"/>
                <w:szCs w:val="28"/>
              </w:rPr>
            </w:pPr>
            <w:r>
              <w:rPr>
                <w:rFonts w:ascii="Times New Roman" w:hAnsi="Times New Roman" w:cs="Times New Roman" w:eastAsiaTheme="minorEastAsia"/>
                <w:bCs/>
                <w:kern w:val="0"/>
                <w:szCs w:val="28"/>
              </w:rPr>
              <w:t xml:space="preserve"> </w:t>
            </w:r>
            <w:r>
              <w:rPr>
                <w:rFonts w:hint="eastAsia" w:ascii="Times New Roman" w:hAnsi="Times New Roman" w:cs="Times New Roman" w:eastAsiaTheme="minorEastAsia"/>
                <w:bCs/>
                <w:kern w:val="0"/>
                <w:szCs w:val="28"/>
              </w:rPr>
              <w:t>面向增材制造的创成式设计</w:t>
            </w:r>
          </w:p>
          <w:p>
            <w:pPr>
              <w:pStyle w:val="2"/>
              <w:spacing w:line="360" w:lineRule="auto"/>
              <w:rPr>
                <w:rFonts w:ascii="Times New Roman" w:hAnsi="Times New Roman" w:cs="Times New Roman" w:eastAsiaTheme="minorEastAsia"/>
                <w:bCs/>
                <w:kern w:val="0"/>
                <w:szCs w:val="28"/>
              </w:rPr>
            </w:pPr>
            <w:r>
              <w:rPr>
                <w:rFonts w:ascii="Times New Roman" w:hAnsi="Times New Roman" w:cs="Times New Roman" w:eastAsiaTheme="minorEastAsia"/>
                <w:bCs/>
                <w:kern w:val="0"/>
                <w:szCs w:val="28"/>
              </w:rPr>
              <w:t xml:space="preserve"> </w:t>
            </w:r>
            <w:r>
              <w:rPr>
                <w:rFonts w:hint="eastAsia" w:ascii="Times New Roman" w:hAnsi="Times New Roman" w:cs="Times New Roman" w:eastAsiaTheme="minorEastAsia"/>
                <w:bCs/>
                <w:kern w:val="0"/>
                <w:szCs w:val="28"/>
              </w:rPr>
              <w:t>加工模型分析和前处理、平面铣、型腔铣等</w:t>
            </w:r>
          </w:p>
          <w:p>
            <w:pPr>
              <w:pStyle w:val="2"/>
              <w:spacing w:line="360" w:lineRule="auto"/>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1</w:t>
            </w:r>
            <w:r>
              <w:rPr>
                <w:rFonts w:ascii="Times New Roman" w:hAnsi="Times New Roman" w:cs="Times New Roman" w:eastAsiaTheme="minorEastAsia"/>
                <w:bCs/>
                <w:kern w:val="0"/>
                <w:szCs w:val="28"/>
              </w:rPr>
              <w:t>2.2</w:t>
            </w:r>
            <w:r>
              <w:rPr>
                <w:rFonts w:hint="eastAsia" w:ascii="Times New Roman" w:hAnsi="Times New Roman" w:cs="Times New Roman" w:eastAsiaTheme="minorEastAsia"/>
                <w:bCs/>
                <w:kern w:val="0"/>
                <w:szCs w:val="28"/>
              </w:rPr>
              <w:t>大赛培训</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针对增材大赛的知识点进行赛前提炼和加强学习；</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针对实际零件的工况和占有空间的拓扑优化；</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基于扫描模型、</w:t>
            </w:r>
            <w:r>
              <w:rPr>
                <w:rFonts w:ascii="Times New Roman" w:hAnsi="Times New Roman" w:cs="Times New Roman" w:eastAsiaTheme="minorEastAsia"/>
                <w:bCs/>
                <w:kern w:val="0"/>
                <w:szCs w:val="28"/>
              </w:rPr>
              <w:t>STL</w:t>
            </w:r>
            <w:r>
              <w:rPr>
                <w:rFonts w:hint="eastAsia" w:ascii="Times New Roman" w:hAnsi="Times New Roman" w:cs="Times New Roman" w:eastAsiaTheme="minorEastAsia"/>
                <w:bCs/>
                <w:kern w:val="0"/>
                <w:szCs w:val="28"/>
              </w:rPr>
              <w:t>文件的模型修复、逆向成实体格式的操作；</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对拓扑模型的细节操作；</w:t>
            </w:r>
          </w:p>
          <w:p>
            <w:pPr>
              <w:pStyle w:val="2"/>
              <w:spacing w:line="360" w:lineRule="auto"/>
              <w:ind w:firstLine="420" w:firstLineChars="200"/>
              <w:rPr>
                <w:rFonts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连接金属打印机并输出</w:t>
            </w:r>
            <w:r>
              <w:rPr>
                <w:rFonts w:ascii="Times New Roman" w:hAnsi="Times New Roman" w:cs="Times New Roman" w:eastAsiaTheme="minorEastAsia"/>
                <w:bCs/>
                <w:kern w:val="0"/>
                <w:szCs w:val="28"/>
              </w:rPr>
              <w:t xml:space="preserve"> </w:t>
            </w:r>
            <w:r>
              <w:rPr>
                <w:rFonts w:hint="eastAsia" w:ascii="Times New Roman" w:hAnsi="Times New Roman" w:cs="Times New Roman" w:eastAsiaTheme="minorEastAsia"/>
                <w:bCs/>
                <w:kern w:val="0"/>
                <w:szCs w:val="28"/>
              </w:rPr>
              <w:t>相应文件；</w:t>
            </w:r>
          </w:p>
          <w:p>
            <w:pPr>
              <w:pStyle w:val="2"/>
              <w:spacing w:line="360" w:lineRule="auto"/>
              <w:rPr>
                <w:rFonts w:ascii="Times New Roman" w:hAnsi="Times New Roman" w:cs="Times New Roman" w:eastAsiaTheme="minorEastAsia"/>
                <w:bCs/>
                <w:kern w:val="0"/>
                <w:szCs w:val="28"/>
              </w:rPr>
            </w:pPr>
            <w:r>
              <w:rPr>
                <w:rFonts w:ascii="Times New Roman" w:hAnsi="Times New Roman" w:cs="Times New Roman" w:eastAsiaTheme="minorEastAsia"/>
                <w:bCs/>
                <w:kern w:val="0"/>
                <w:szCs w:val="28"/>
              </w:rPr>
              <w:t>12.3 2</w:t>
            </w:r>
            <w:r>
              <w:rPr>
                <w:rFonts w:hint="eastAsia" w:ascii="Times New Roman" w:hAnsi="Times New Roman" w:cs="Times New Roman" w:eastAsiaTheme="minorEastAsia"/>
                <w:bCs/>
                <w:kern w:val="0"/>
                <w:szCs w:val="28"/>
              </w:rPr>
              <w:t>天线下大赛培训。</w:t>
            </w:r>
          </w:p>
          <w:p>
            <w:pPr>
              <w:pStyle w:val="2"/>
              <w:spacing w:line="360" w:lineRule="auto"/>
              <w:rPr>
                <w:rFonts w:hint="eastAsia" w:ascii="Times New Roman" w:hAnsi="Times New Roman" w:cs="Times New Roman" w:eastAsiaTheme="minorEastAsia"/>
                <w:bCs/>
                <w:kern w:val="0"/>
                <w:szCs w:val="28"/>
              </w:rPr>
            </w:pPr>
            <w:r>
              <w:rPr>
                <w:rFonts w:hint="eastAsia" w:ascii="Times New Roman" w:hAnsi="Times New Roman" w:cs="Times New Roman" w:eastAsiaTheme="minorEastAsia"/>
                <w:bCs/>
                <w:kern w:val="0"/>
                <w:szCs w:val="28"/>
              </w:rPr>
              <w:t>1</w:t>
            </w:r>
            <w:r>
              <w:rPr>
                <w:rFonts w:ascii="Times New Roman" w:hAnsi="Times New Roman" w:cs="Times New Roman" w:eastAsiaTheme="minorEastAsia"/>
                <w:bCs/>
                <w:kern w:val="0"/>
                <w:szCs w:val="28"/>
              </w:rPr>
              <w:t xml:space="preserve">2.4 </w:t>
            </w:r>
            <w:r>
              <w:rPr>
                <w:rFonts w:hint="eastAsia" w:ascii="Times New Roman" w:hAnsi="Times New Roman" w:cs="Times New Roman" w:eastAsiaTheme="minorEastAsia"/>
                <w:bCs/>
                <w:kern w:val="0"/>
                <w:szCs w:val="28"/>
              </w:rPr>
              <w:t>软件提供一年免费升级，终身维护。</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节点</w:t>
            </w:r>
          </w:p>
        </w:tc>
        <w:tc>
          <w:tcPr>
            <w:tcW w:w="709" w:type="dxa"/>
            <w:vAlign w:val="center"/>
          </w:tcPr>
          <w:p>
            <w:pPr>
              <w:snapToGrid w:val="0"/>
              <w:spacing w:line="360" w:lineRule="auto"/>
              <w:jc w:val="center"/>
              <w:rPr>
                <w:rFonts w:eastAsiaTheme="minorEastAsia"/>
                <w:bCs/>
                <w:kern w:val="0"/>
                <w:szCs w:val="28"/>
              </w:rPr>
            </w:pPr>
            <w:r>
              <w:rPr>
                <w:rFonts w:hint="eastAsia" w:eastAsiaTheme="minorEastAsia"/>
                <w:bCs/>
                <w:kern w:val="0"/>
                <w:szCs w:val="28"/>
              </w:rPr>
              <w:t>5</w:t>
            </w:r>
          </w:p>
        </w:tc>
      </w:tr>
    </w:tbl>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二、交货期要求</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签订合同后</w:t>
      </w:r>
      <w:r>
        <w:rPr>
          <w:rFonts w:hint="eastAsia" w:asciiTheme="minorEastAsia" w:hAnsiTheme="minorEastAsia" w:eastAsiaTheme="minorEastAsia"/>
          <w:kern w:val="0"/>
          <w:szCs w:val="28"/>
        </w:rPr>
        <w:t>，</w:t>
      </w:r>
      <w:r>
        <w:rPr>
          <w:rFonts w:hint="eastAsia" w:asciiTheme="minorEastAsia" w:hAnsiTheme="minorEastAsia" w:eastAsiaTheme="minorEastAsia"/>
          <w:kern w:val="0"/>
          <w:szCs w:val="28"/>
          <w:u w:val="single"/>
        </w:rPr>
        <w:t xml:space="preserve"> </w:t>
      </w:r>
      <w:r>
        <w:rPr>
          <w:rFonts w:asciiTheme="minorEastAsia" w:hAnsiTheme="minorEastAsia" w:eastAsiaTheme="minorEastAsia"/>
          <w:kern w:val="0"/>
          <w:szCs w:val="28"/>
          <w:u w:val="single"/>
        </w:rPr>
        <w:t>40</w:t>
      </w:r>
      <w:r>
        <w:rPr>
          <w:rFonts w:hint="eastAsia" w:asciiTheme="minorEastAsia" w:hAnsiTheme="minorEastAsia" w:eastAsiaTheme="minorEastAsia"/>
          <w:kern w:val="0"/>
          <w:szCs w:val="28"/>
          <w:u w:val="single"/>
        </w:rPr>
        <w:t xml:space="preserve"> </w:t>
      </w:r>
      <w:r>
        <w:rPr>
          <w:rFonts w:asciiTheme="minorEastAsia" w:hAnsiTheme="minorEastAsia" w:eastAsiaTheme="minorEastAsia"/>
          <w:kern w:val="0"/>
          <w:szCs w:val="28"/>
        </w:rPr>
        <w:t>天</w:t>
      </w:r>
      <w:r>
        <w:rPr>
          <w:rFonts w:hint="eastAsia" w:asciiTheme="minorEastAsia" w:hAnsiTheme="minorEastAsia" w:eastAsiaTheme="minorEastAsia"/>
          <w:kern w:val="0"/>
          <w:szCs w:val="28"/>
        </w:rPr>
        <w:t>内</w:t>
      </w:r>
      <w:r>
        <w:rPr>
          <w:rFonts w:asciiTheme="minorEastAsia" w:hAnsiTheme="minorEastAsia" w:eastAsiaTheme="minorEastAsia"/>
          <w:kern w:val="0"/>
          <w:szCs w:val="28"/>
        </w:rPr>
        <w:t>仪器</w:t>
      </w:r>
      <w:r>
        <w:rPr>
          <w:rFonts w:hint="eastAsia" w:asciiTheme="minorEastAsia" w:hAnsiTheme="minorEastAsia" w:eastAsiaTheme="minorEastAsia"/>
          <w:kern w:val="0"/>
          <w:szCs w:val="28"/>
        </w:rPr>
        <w:t>设备</w:t>
      </w:r>
      <w:r>
        <w:rPr>
          <w:rFonts w:asciiTheme="minorEastAsia" w:hAnsiTheme="minorEastAsia" w:eastAsiaTheme="minorEastAsia"/>
          <w:kern w:val="0"/>
          <w:szCs w:val="28"/>
        </w:rPr>
        <w:t>安装调试验收结束并交付使用。</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三、交货地点</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交货地点为</w:t>
      </w:r>
      <w:r>
        <w:rPr>
          <w:rFonts w:hint="eastAsia" w:asciiTheme="minorEastAsia" w:hAnsiTheme="minorEastAsia" w:eastAsiaTheme="minorEastAsia"/>
          <w:kern w:val="0"/>
          <w:szCs w:val="28"/>
        </w:rPr>
        <w:t>：</w:t>
      </w:r>
      <w:r>
        <w:rPr>
          <w:rFonts w:hint="eastAsia" w:asciiTheme="minorEastAsia" w:hAnsiTheme="minorEastAsia" w:eastAsiaTheme="minorEastAsia"/>
          <w:kern w:val="0"/>
          <w:szCs w:val="28"/>
          <w:u w:val="single"/>
        </w:rPr>
        <w:t xml:space="preserve">  江苏省盐城技师学院校内指定地点  </w:t>
      </w:r>
      <w:r>
        <w:rPr>
          <w:rFonts w:hint="eastAsia" w:asciiTheme="minorEastAsia" w:hAnsiTheme="minorEastAsia" w:eastAsiaTheme="minorEastAsia"/>
          <w:kern w:val="0"/>
          <w:szCs w:val="28"/>
        </w:rPr>
        <w:t>。</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四、付款方式</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双方签订合同后，中标人交纳履约保证金（合同金额的5%）给采购人；合同生效后，货物安装、调试、验收合格后30日内，支付合同总价的100%，履约保证金转质保金，质保期满后无息返还。</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五、合同签订时间</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采购</w:t>
      </w:r>
      <w:r>
        <w:rPr>
          <w:rFonts w:asciiTheme="minorEastAsia" w:hAnsiTheme="minorEastAsia" w:eastAsiaTheme="minorEastAsia"/>
          <w:kern w:val="0"/>
          <w:szCs w:val="28"/>
        </w:rPr>
        <w:t>人和中标人应当自公示结束后</w:t>
      </w:r>
      <w:r>
        <w:rPr>
          <w:rFonts w:hint="eastAsia" w:asciiTheme="minorEastAsia" w:hAnsiTheme="minorEastAsia" w:eastAsiaTheme="minorEastAsia"/>
          <w:kern w:val="0"/>
          <w:szCs w:val="28"/>
          <w:u w:val="single"/>
        </w:rPr>
        <w:t xml:space="preserve"> 5 </w:t>
      </w:r>
      <w:r>
        <w:rPr>
          <w:rFonts w:asciiTheme="minorEastAsia" w:hAnsiTheme="minorEastAsia" w:eastAsiaTheme="minorEastAsia"/>
          <w:kern w:val="0"/>
          <w:szCs w:val="28"/>
        </w:rPr>
        <w:t>日内签订合同。</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六、售后服务及服务承诺</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质保期：采购清单中有明确质保年限的按采购清单执行；其余所投产品设备免费质量保证期1年，自产品设备验收合格之日起进入质保期。在质保期内发生的任何技术和设备的问题，中标单位全权负责，并是免费和无偿的，包括零部件的更换。（但不包括用户人为造成的损伤）</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2.服务响应时间：中标单位应以优良的服务态度，提供2小时以内响应，24小时以内完成采购单位提出的维修或更换要求。</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技术支持及技术培训：在质保期内正常使用条件下，中标单位对设备出现的故障提供免费维修，零部件损坏须及时免费更换。在设备的设计使用寿命周期内，投标单位应保证用户能更换到原厂正宗的零部件，确保设备正常使用。中标单位自备安装调试及维修工具。</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4.培训服务要求:</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包括技术、维修和操作培训，含工作原理，设备的编程、操作使用和维护方法，达到正确检修、维护和排除故障的水平。保证受培训人员能独立操作，培训费用由中标单位承担。</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5.设备保修期满以后，中标单位依然能提供广泛而优惠的技术支持及备件供应。</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6.由于中标单位提供的产品质量问题造成采购单位的财产损失或使用安全问题，由中标单位负责。</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七、特别说明</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无</w:t>
      </w: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rPr>
      </w:pPr>
      <w:r>
        <w:rPr>
          <w:rFonts w:hint="eastAsia" w:ascii="黑体" w:eastAsia="黑体" w:cs="黑体"/>
          <w:sz w:val="44"/>
          <w:szCs w:val="44"/>
        </w:rPr>
        <w:t>第四部分 合同条款及格式</w:t>
      </w:r>
    </w:p>
    <w:p>
      <w:pPr>
        <w:spacing w:line="360" w:lineRule="auto"/>
        <w:ind w:firstLine="480" w:firstLineChars="200"/>
        <w:rPr>
          <w:rFonts w:ascii="宋体" w:hAnsi="宋体" w:cs="宋体"/>
          <w:bCs/>
          <w:sz w:val="24"/>
        </w:rPr>
      </w:pPr>
      <w:bookmarkStart w:id="62" w:name="_Toc20823315"/>
      <w:bookmarkStart w:id="63" w:name="_Toc16938559"/>
      <w:bookmarkStart w:id="64" w:name="_Toc513029243"/>
      <w:r>
        <w:rPr>
          <w:rFonts w:hint="eastAsia" w:ascii="宋体" w:hAnsi="宋体" w:cs="宋体"/>
          <w:bCs/>
          <w:sz w:val="24"/>
        </w:rPr>
        <w:t>以下为中标后签定本项目合同的通用条款，中标供应商不得提出实质性的修改，关于专用条款将由采购人与中标供应商结合本项目具体情况协商后签订。</w:t>
      </w:r>
    </w:p>
    <w:p>
      <w:pPr>
        <w:snapToGrid w:val="0"/>
        <w:spacing w:before="145" w:beforeLines="50" w:after="145" w:afterLines="50" w:line="360" w:lineRule="auto"/>
        <w:jc w:val="center"/>
        <w:outlineLvl w:val="0"/>
        <w:rPr>
          <w:rFonts w:ascii="宋体" w:hAnsi="宋体" w:cs="宋体"/>
          <w:b/>
          <w:bCs/>
          <w:sz w:val="28"/>
          <w:szCs w:val="28"/>
        </w:rPr>
      </w:pPr>
      <w:r>
        <w:rPr>
          <w:rFonts w:hint="eastAsia" w:ascii="宋体" w:hAnsi="宋体" w:cs="宋体"/>
          <w:b/>
          <w:sz w:val="28"/>
          <w:szCs w:val="28"/>
        </w:rPr>
        <w:t>政府采购合同</w:t>
      </w:r>
    </w:p>
    <w:p>
      <w:pPr>
        <w:pStyle w:val="24"/>
        <w:snapToGrid w:val="0"/>
        <w:spacing w:before="120" w:after="120" w:line="360" w:lineRule="auto"/>
        <w:rPr>
          <w:rFonts w:hAnsi="宋体" w:cs="宋体"/>
          <w:sz w:val="24"/>
          <w:szCs w:val="24"/>
        </w:rPr>
      </w:pPr>
      <w:r>
        <w:rPr>
          <w:rFonts w:hint="eastAsia" w:hAnsi="宋体" w:cs="宋体"/>
          <w:sz w:val="24"/>
          <w:szCs w:val="24"/>
        </w:rPr>
        <w:t>项目名称：                                       项目编号：</w:t>
      </w:r>
    </w:p>
    <w:p>
      <w:pPr>
        <w:pStyle w:val="24"/>
        <w:snapToGrid w:val="0"/>
        <w:spacing w:before="120" w:after="120" w:line="360" w:lineRule="auto"/>
        <w:rPr>
          <w:rFonts w:hAnsi="宋体" w:cs="宋体"/>
          <w:sz w:val="24"/>
          <w:szCs w:val="24"/>
          <w:u w:val="single"/>
        </w:rPr>
      </w:pPr>
      <w:r>
        <w:rPr>
          <w:rFonts w:hint="eastAsia" w:hAnsi="宋体" w:cs="宋体"/>
          <w:sz w:val="24"/>
          <w:szCs w:val="24"/>
        </w:rPr>
        <w:t>甲方：（买方）</w:t>
      </w:r>
      <w:r>
        <w:rPr>
          <w:rFonts w:hint="eastAsia" w:hAnsi="宋体" w:cs="宋体"/>
          <w:sz w:val="24"/>
          <w:szCs w:val="24"/>
          <w:u w:val="single"/>
          <w:lang w:eastAsia="zh-CN"/>
        </w:rPr>
        <w:t>江苏省盐城技师学院</w:t>
      </w:r>
      <w:r>
        <w:rPr>
          <w:rFonts w:hint="eastAsia" w:hAnsi="宋体" w:cs="宋体"/>
          <w:sz w:val="24"/>
          <w:szCs w:val="24"/>
          <w:u w:val="single"/>
        </w:rPr>
        <w:t>_</w:t>
      </w:r>
    </w:p>
    <w:p>
      <w:pPr>
        <w:pStyle w:val="24"/>
        <w:snapToGrid w:val="0"/>
        <w:spacing w:before="120" w:after="120" w:line="360" w:lineRule="auto"/>
        <w:rPr>
          <w:rFonts w:hAnsi="宋体" w:cs="宋体"/>
          <w:sz w:val="24"/>
          <w:szCs w:val="24"/>
        </w:rPr>
      </w:pPr>
      <w:r>
        <w:rPr>
          <w:rFonts w:hint="eastAsia" w:hAnsi="宋体" w:cs="宋体"/>
          <w:sz w:val="24"/>
          <w:szCs w:val="24"/>
        </w:rPr>
        <w:t>乙方：（卖方）_________</w:t>
      </w:r>
    </w:p>
    <w:p>
      <w:pPr>
        <w:pStyle w:val="24"/>
        <w:snapToGrid w:val="0"/>
        <w:spacing w:before="120" w:after="120" w:line="360" w:lineRule="auto"/>
        <w:rPr>
          <w:rFonts w:hAnsi="宋体" w:cs="宋体"/>
          <w:b/>
          <w:sz w:val="24"/>
          <w:szCs w:val="24"/>
        </w:rPr>
      </w:pPr>
      <w:r>
        <w:rPr>
          <w:rFonts w:hint="eastAsia" w:hAnsi="宋体" w:cs="宋体"/>
          <w:sz w:val="24"/>
          <w:szCs w:val="24"/>
        </w:rPr>
        <w:t>甲、乙双方根据项目单一来源的结果，签署本合同。</w:t>
      </w:r>
    </w:p>
    <w:bookmarkEnd w:id="62"/>
    <w:bookmarkEnd w:id="63"/>
    <w:bookmarkEnd w:id="64"/>
    <w:p>
      <w:pPr>
        <w:pStyle w:val="24"/>
        <w:snapToGrid w:val="0"/>
        <w:spacing w:before="120" w:after="120"/>
        <w:rPr>
          <w:rFonts w:hAnsi="宋体"/>
          <w:b/>
          <w:sz w:val="24"/>
          <w:szCs w:val="24"/>
        </w:rPr>
      </w:pPr>
      <w:r>
        <w:rPr>
          <w:rFonts w:hAnsi="宋体"/>
          <w:b/>
          <w:sz w:val="24"/>
          <w:szCs w:val="24"/>
        </w:rPr>
        <w:t>一、货物内容</w:t>
      </w:r>
    </w:p>
    <w:p>
      <w:pPr>
        <w:pStyle w:val="24"/>
        <w:snapToGrid w:val="0"/>
        <w:spacing w:before="120" w:after="120"/>
        <w:rPr>
          <w:rFonts w:hAnsi="宋体"/>
          <w:sz w:val="24"/>
          <w:szCs w:val="24"/>
        </w:rPr>
      </w:pPr>
      <w:r>
        <w:rPr>
          <w:rFonts w:hAnsi="宋体"/>
          <w:sz w:val="24"/>
          <w:szCs w:val="24"/>
        </w:rPr>
        <w:t>1.1 货物名称：</w:t>
      </w:r>
    </w:p>
    <w:p>
      <w:pPr>
        <w:pStyle w:val="24"/>
        <w:snapToGrid w:val="0"/>
        <w:spacing w:before="120" w:after="120"/>
        <w:rPr>
          <w:rFonts w:hAnsi="宋体"/>
          <w:sz w:val="24"/>
          <w:szCs w:val="24"/>
        </w:rPr>
      </w:pPr>
      <w:r>
        <w:rPr>
          <w:rFonts w:hAnsi="宋体"/>
          <w:sz w:val="24"/>
          <w:szCs w:val="24"/>
        </w:rPr>
        <w:t>1.2 型号规格：</w:t>
      </w:r>
    </w:p>
    <w:p>
      <w:pPr>
        <w:pStyle w:val="24"/>
        <w:snapToGrid w:val="0"/>
        <w:spacing w:before="120" w:after="120"/>
        <w:rPr>
          <w:rFonts w:hAnsi="宋体"/>
          <w:sz w:val="24"/>
          <w:szCs w:val="24"/>
        </w:rPr>
      </w:pPr>
      <w:r>
        <w:rPr>
          <w:rFonts w:hAnsi="宋体"/>
          <w:sz w:val="24"/>
          <w:szCs w:val="24"/>
        </w:rPr>
        <w:t>1.3 数量（单位）：</w:t>
      </w:r>
    </w:p>
    <w:p>
      <w:pPr>
        <w:pStyle w:val="24"/>
        <w:snapToGrid w:val="0"/>
        <w:spacing w:before="120" w:after="120"/>
        <w:rPr>
          <w:rFonts w:hAnsi="宋体"/>
          <w:b/>
          <w:sz w:val="24"/>
          <w:szCs w:val="24"/>
        </w:rPr>
      </w:pPr>
      <w:r>
        <w:rPr>
          <w:rFonts w:hAnsi="宋体"/>
          <w:b/>
          <w:sz w:val="24"/>
          <w:szCs w:val="24"/>
        </w:rPr>
        <w:t>二、合同金额</w:t>
      </w:r>
    </w:p>
    <w:p>
      <w:pPr>
        <w:pStyle w:val="24"/>
        <w:snapToGrid w:val="0"/>
        <w:spacing w:before="120" w:after="120"/>
        <w:ind w:left="410" w:hanging="410" w:hangingChars="171"/>
        <w:rPr>
          <w:rFonts w:hAnsi="宋体"/>
          <w:sz w:val="24"/>
          <w:szCs w:val="24"/>
        </w:rPr>
      </w:pPr>
      <w:r>
        <w:rPr>
          <w:rFonts w:hAnsi="宋体"/>
          <w:sz w:val="24"/>
          <w:szCs w:val="24"/>
        </w:rPr>
        <w:t>2.1 本合同金额为（大写）：_____________元（_____________元）人民币</w:t>
      </w:r>
      <w:r>
        <w:rPr>
          <w:rFonts w:hint="eastAsia" w:hAnsi="宋体"/>
          <w:sz w:val="24"/>
          <w:szCs w:val="24"/>
        </w:rPr>
        <w:t>或其他币种</w:t>
      </w:r>
      <w:r>
        <w:rPr>
          <w:rFonts w:hAnsi="宋体"/>
          <w:sz w:val="24"/>
          <w:szCs w:val="24"/>
        </w:rPr>
        <w:t>。</w:t>
      </w:r>
    </w:p>
    <w:p>
      <w:pPr>
        <w:pStyle w:val="24"/>
        <w:snapToGrid w:val="0"/>
        <w:spacing w:before="120" w:after="120"/>
        <w:rPr>
          <w:rFonts w:hAnsi="宋体"/>
          <w:b/>
          <w:sz w:val="24"/>
          <w:szCs w:val="24"/>
        </w:rPr>
      </w:pPr>
      <w:r>
        <w:rPr>
          <w:rFonts w:hAnsi="宋体"/>
          <w:b/>
          <w:sz w:val="24"/>
          <w:szCs w:val="24"/>
        </w:rPr>
        <w:t>三、技术资料</w:t>
      </w:r>
    </w:p>
    <w:p>
      <w:pPr>
        <w:pStyle w:val="24"/>
        <w:snapToGrid w:val="0"/>
        <w:spacing w:before="120" w:after="120"/>
        <w:ind w:left="410" w:hanging="410" w:hangingChars="171"/>
        <w:rPr>
          <w:rFonts w:hAnsi="宋体"/>
          <w:sz w:val="24"/>
          <w:szCs w:val="24"/>
        </w:rPr>
      </w:pPr>
      <w:r>
        <w:rPr>
          <w:rFonts w:hAnsi="宋体"/>
          <w:sz w:val="24"/>
          <w:szCs w:val="24"/>
        </w:rPr>
        <w:t>3.1乙方应按招标文件规定的时间向甲方提供使用货物的有关技术资料。</w:t>
      </w:r>
    </w:p>
    <w:p>
      <w:pPr>
        <w:spacing w:line="500" w:lineRule="exact"/>
        <w:rPr>
          <w:rFonts w:ascii="宋体" w:hAnsi="宋体"/>
          <w:bCs/>
          <w:sz w:val="24"/>
        </w:rPr>
      </w:pPr>
      <w:r>
        <w:rPr>
          <w:rFonts w:ascii="宋体" w:hAnsi="宋体"/>
          <w:bCs/>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ind w:left="412" w:hanging="412" w:hangingChars="171"/>
        <w:rPr>
          <w:rFonts w:hAnsi="宋体"/>
          <w:b/>
          <w:sz w:val="24"/>
          <w:szCs w:val="24"/>
        </w:rPr>
      </w:pPr>
      <w:r>
        <w:rPr>
          <w:rFonts w:hAnsi="宋体"/>
          <w:b/>
          <w:sz w:val="24"/>
          <w:szCs w:val="24"/>
        </w:rPr>
        <w:t>四、知识产权</w:t>
      </w:r>
    </w:p>
    <w:p>
      <w:pPr>
        <w:spacing w:line="500" w:lineRule="exact"/>
        <w:rPr>
          <w:rFonts w:ascii="宋体" w:hAnsi="宋体"/>
          <w:sz w:val="24"/>
        </w:rPr>
      </w:pPr>
      <w:r>
        <w:rPr>
          <w:rFonts w:hAnsi="宋体"/>
          <w:sz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24"/>
        <w:snapToGrid w:val="0"/>
        <w:spacing w:before="120" w:after="120"/>
        <w:rPr>
          <w:rFonts w:hAnsi="宋体"/>
          <w:sz w:val="24"/>
          <w:szCs w:val="24"/>
          <w:u w:val="single"/>
        </w:rPr>
      </w:pPr>
      <w:r>
        <w:rPr>
          <w:rFonts w:hAnsi="宋体"/>
          <w:b/>
          <w:sz w:val="24"/>
          <w:szCs w:val="24"/>
        </w:rPr>
        <w:t>五、产权担保</w:t>
      </w:r>
    </w:p>
    <w:p>
      <w:pPr>
        <w:pStyle w:val="24"/>
        <w:snapToGrid w:val="0"/>
        <w:spacing w:before="120" w:after="120"/>
        <w:ind w:left="408" w:hanging="408" w:hangingChars="170"/>
        <w:rPr>
          <w:rFonts w:hAnsi="宋体"/>
          <w:sz w:val="24"/>
          <w:szCs w:val="24"/>
          <w:u w:val="single"/>
        </w:rPr>
      </w:pPr>
      <w:r>
        <w:rPr>
          <w:rFonts w:hAnsi="宋体"/>
          <w:sz w:val="24"/>
          <w:szCs w:val="24"/>
        </w:rPr>
        <w:t>5.1 乙方保证所交付的货物的所有权完全属于乙方且无任何抵押、查封等产权瑕疵。</w:t>
      </w:r>
    </w:p>
    <w:p>
      <w:pPr>
        <w:pStyle w:val="24"/>
        <w:snapToGrid w:val="0"/>
        <w:spacing w:before="120" w:after="120"/>
        <w:ind w:left="410" w:hanging="410" w:hangingChars="170"/>
        <w:rPr>
          <w:rFonts w:hAnsi="宋体"/>
          <w:b/>
          <w:sz w:val="24"/>
          <w:szCs w:val="24"/>
        </w:rPr>
      </w:pPr>
      <w:r>
        <w:rPr>
          <w:rFonts w:hAnsi="宋体"/>
          <w:b/>
          <w:sz w:val="24"/>
          <w:szCs w:val="24"/>
        </w:rPr>
        <w:t>六、履约保证金</w:t>
      </w:r>
    </w:p>
    <w:p>
      <w:pPr>
        <w:pStyle w:val="24"/>
        <w:snapToGrid w:val="0"/>
        <w:spacing w:before="120" w:after="120" w:line="560" w:lineRule="exact"/>
        <w:ind w:left="408" w:leftChars="57" w:hanging="288" w:hangingChars="120"/>
        <w:rPr>
          <w:rFonts w:hAnsi="宋体"/>
          <w:sz w:val="24"/>
          <w:szCs w:val="24"/>
        </w:rPr>
      </w:pPr>
      <w:r>
        <w:rPr>
          <w:rFonts w:hAnsi="宋体"/>
          <w:sz w:val="24"/>
          <w:szCs w:val="24"/>
        </w:rPr>
        <w:t>6.1乙方交纳人民币_________元作为本合同的履约保证金（合同金额的</w:t>
      </w:r>
      <w:r>
        <w:rPr>
          <w:rFonts w:hint="eastAsia" w:hAnsi="宋体"/>
          <w:sz w:val="24"/>
          <w:szCs w:val="24"/>
        </w:rPr>
        <w:t>5</w:t>
      </w:r>
      <w:r>
        <w:rPr>
          <w:rFonts w:hAnsi="宋体"/>
          <w:sz w:val="24"/>
          <w:szCs w:val="24"/>
        </w:rPr>
        <w:t>%）。</w:t>
      </w:r>
      <w:r>
        <w:rPr>
          <w:rFonts w:hint="eastAsia" w:hAnsi="宋体"/>
          <w:sz w:val="24"/>
        </w:rPr>
        <w:t>鼓励采购人对AA评级及以上政府采购供应商（需提供信用管理部门备案的第三方信用报告），免收履约保证金或降低履约保证金缴纳比例。</w:t>
      </w:r>
    </w:p>
    <w:p>
      <w:pPr>
        <w:snapToGrid w:val="0"/>
        <w:spacing w:before="145" w:beforeLines="50" w:after="145" w:afterLines="50"/>
        <w:rPr>
          <w:rFonts w:ascii="宋体" w:hAnsi="宋体" w:eastAsia="仿宋_GB2312"/>
          <w:b/>
          <w:sz w:val="24"/>
        </w:rPr>
      </w:pPr>
      <w:r>
        <w:rPr>
          <w:rFonts w:hint="eastAsia" w:ascii="宋体" w:hAnsi="宋体"/>
          <w:b/>
          <w:sz w:val="24"/>
        </w:rPr>
        <w:t>七、转包或分包</w:t>
      </w:r>
    </w:p>
    <w:p>
      <w:pPr>
        <w:snapToGrid w:val="0"/>
        <w:spacing w:before="145" w:beforeLines="50" w:after="145" w:afterLines="50"/>
        <w:rPr>
          <w:rFonts w:ascii="宋体" w:hAnsi="宋体" w:eastAsia="仿宋_GB2312"/>
          <w:sz w:val="24"/>
        </w:rPr>
      </w:pPr>
      <w:r>
        <w:rPr>
          <w:rFonts w:ascii="宋体" w:hAnsi="宋体"/>
          <w:sz w:val="24"/>
        </w:rPr>
        <w:t>7.1</w:t>
      </w:r>
      <w:r>
        <w:rPr>
          <w:rFonts w:hint="eastAsia" w:ascii="宋体" w:hAnsi="宋体"/>
          <w:sz w:val="24"/>
        </w:rPr>
        <w:t>本合同范围的货物，应由乙方直接供应，不得转让他人供应；</w:t>
      </w:r>
    </w:p>
    <w:p>
      <w:pPr>
        <w:snapToGrid w:val="0"/>
        <w:spacing w:before="145" w:beforeLines="50" w:after="145" w:afterLines="50"/>
        <w:rPr>
          <w:rFonts w:ascii="宋体" w:hAnsi="宋体" w:eastAsia="仿宋_GB2312"/>
          <w:sz w:val="24"/>
        </w:rPr>
      </w:pPr>
      <w:r>
        <w:rPr>
          <w:rFonts w:ascii="宋体" w:hAnsi="宋体"/>
          <w:sz w:val="24"/>
        </w:rPr>
        <w:t xml:space="preserve">7.2 </w:t>
      </w:r>
      <w:r>
        <w:rPr>
          <w:rFonts w:hint="eastAsia" w:ascii="宋体" w:hAnsi="宋体"/>
          <w:sz w:val="24"/>
        </w:rPr>
        <w:t>除非得到甲方的书面同意，乙方不得部分分包给他人供应。</w:t>
      </w:r>
    </w:p>
    <w:p>
      <w:pPr>
        <w:snapToGrid w:val="0"/>
        <w:spacing w:before="145" w:beforeLines="50" w:after="145" w:afterLines="50"/>
        <w:rPr>
          <w:rFonts w:ascii="宋体" w:hAnsi="宋体" w:eastAsia="仿宋_GB2312"/>
          <w:sz w:val="24"/>
        </w:rPr>
      </w:pPr>
      <w:r>
        <w:rPr>
          <w:rFonts w:ascii="宋体" w:hAnsi="宋体"/>
          <w:sz w:val="24"/>
        </w:rPr>
        <w:t>7.3</w:t>
      </w:r>
      <w:r>
        <w:rPr>
          <w:rFonts w:hint="eastAsia" w:ascii="宋体" w:hAnsi="宋体"/>
          <w:sz w:val="24"/>
        </w:rPr>
        <w:t>如有转让和未经甲方同意的分包行为，甲方有权给予终止合同。</w:t>
      </w:r>
    </w:p>
    <w:p>
      <w:pPr>
        <w:pStyle w:val="24"/>
        <w:snapToGrid w:val="0"/>
        <w:spacing w:before="120" w:after="120"/>
        <w:rPr>
          <w:rFonts w:hAnsi="宋体"/>
          <w:sz w:val="24"/>
          <w:szCs w:val="24"/>
        </w:rPr>
      </w:pPr>
      <w:r>
        <w:rPr>
          <w:rFonts w:hAnsi="宋体"/>
          <w:b/>
          <w:sz w:val="24"/>
          <w:szCs w:val="24"/>
        </w:rPr>
        <w:t>八、质保期</w:t>
      </w:r>
    </w:p>
    <w:p>
      <w:pPr>
        <w:pStyle w:val="24"/>
        <w:snapToGrid w:val="0"/>
        <w:spacing w:before="120" w:after="120"/>
        <w:ind w:left="410" w:hanging="410" w:hangingChars="171"/>
        <w:rPr>
          <w:rFonts w:hAnsi="宋体"/>
          <w:sz w:val="24"/>
          <w:szCs w:val="24"/>
        </w:rPr>
      </w:pPr>
      <w:r>
        <w:rPr>
          <w:rFonts w:hAnsi="宋体"/>
          <w:sz w:val="24"/>
          <w:szCs w:val="24"/>
        </w:rPr>
        <w:t>8.1 质保期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年。（自交货验收合格之日起计）</w:t>
      </w:r>
    </w:p>
    <w:p>
      <w:pPr>
        <w:pStyle w:val="24"/>
        <w:snapToGrid w:val="0"/>
        <w:spacing w:before="120" w:after="120"/>
        <w:rPr>
          <w:rFonts w:hAnsi="宋体"/>
          <w:b/>
          <w:sz w:val="24"/>
          <w:szCs w:val="24"/>
        </w:rPr>
      </w:pPr>
      <w:r>
        <w:rPr>
          <w:rFonts w:hAnsi="宋体"/>
          <w:b/>
          <w:sz w:val="24"/>
          <w:szCs w:val="24"/>
        </w:rPr>
        <w:t>九、交货期、交货方式及交货地点</w:t>
      </w:r>
    </w:p>
    <w:p>
      <w:pPr>
        <w:pStyle w:val="24"/>
        <w:snapToGrid w:val="0"/>
        <w:spacing w:before="120" w:after="120"/>
        <w:rPr>
          <w:rFonts w:hAnsi="宋体"/>
          <w:bCs/>
          <w:sz w:val="24"/>
          <w:szCs w:val="24"/>
        </w:rPr>
      </w:pPr>
      <w:r>
        <w:rPr>
          <w:rFonts w:hAnsi="宋体"/>
          <w:bCs/>
          <w:sz w:val="24"/>
          <w:szCs w:val="24"/>
        </w:rPr>
        <w:t>9.1 交货期：</w:t>
      </w:r>
      <w:r>
        <w:rPr>
          <w:rFonts w:hAnsi="宋体"/>
          <w:sz w:val="24"/>
          <w:szCs w:val="24"/>
        </w:rPr>
        <w:t>_________</w:t>
      </w:r>
    </w:p>
    <w:p>
      <w:pPr>
        <w:pStyle w:val="24"/>
        <w:snapToGrid w:val="0"/>
        <w:spacing w:before="120" w:after="120"/>
        <w:rPr>
          <w:rFonts w:hAnsi="宋体"/>
          <w:bCs/>
          <w:sz w:val="24"/>
          <w:szCs w:val="24"/>
        </w:rPr>
      </w:pPr>
      <w:r>
        <w:rPr>
          <w:rFonts w:hAnsi="宋体"/>
          <w:bCs/>
          <w:sz w:val="24"/>
          <w:szCs w:val="24"/>
        </w:rPr>
        <w:t>9.2 交货方式：</w:t>
      </w:r>
      <w:r>
        <w:rPr>
          <w:rFonts w:hAnsi="宋体"/>
          <w:sz w:val="24"/>
          <w:szCs w:val="24"/>
        </w:rPr>
        <w:t>_________</w:t>
      </w:r>
    </w:p>
    <w:p>
      <w:pPr>
        <w:pStyle w:val="24"/>
        <w:snapToGrid w:val="0"/>
        <w:spacing w:before="120" w:after="120"/>
        <w:rPr>
          <w:rFonts w:hAnsi="宋体"/>
          <w:b/>
          <w:sz w:val="24"/>
          <w:szCs w:val="24"/>
        </w:rPr>
      </w:pPr>
      <w:r>
        <w:rPr>
          <w:rFonts w:hAnsi="宋体"/>
          <w:bCs/>
          <w:sz w:val="24"/>
          <w:szCs w:val="24"/>
        </w:rPr>
        <w:t>9.3 交货地点：</w:t>
      </w:r>
      <w:r>
        <w:rPr>
          <w:rFonts w:hAnsi="宋体"/>
          <w:sz w:val="24"/>
          <w:szCs w:val="24"/>
        </w:rPr>
        <w:t>_________</w:t>
      </w:r>
    </w:p>
    <w:p>
      <w:pPr>
        <w:pStyle w:val="24"/>
        <w:snapToGrid w:val="0"/>
        <w:spacing w:before="120" w:after="120"/>
        <w:rPr>
          <w:rFonts w:hAnsi="宋体"/>
          <w:b/>
          <w:sz w:val="24"/>
          <w:szCs w:val="24"/>
        </w:rPr>
      </w:pPr>
      <w:r>
        <w:rPr>
          <w:rFonts w:hAnsi="宋体"/>
          <w:b/>
          <w:sz w:val="24"/>
          <w:szCs w:val="24"/>
        </w:rPr>
        <w:t>十、货款支付</w:t>
      </w:r>
    </w:p>
    <w:p>
      <w:pPr>
        <w:snapToGrid w:val="0"/>
        <w:spacing w:before="145" w:beforeLines="50" w:after="145" w:afterLines="50"/>
        <w:rPr>
          <w:rFonts w:ascii="宋体" w:hAnsi="宋体"/>
          <w:sz w:val="24"/>
        </w:rPr>
      </w:pPr>
      <w:r>
        <w:rPr>
          <w:rFonts w:hint="eastAsia" w:ascii="宋体" w:hAnsi="宋体"/>
          <w:sz w:val="24"/>
        </w:rPr>
        <w:t>10.1 付款方式：</w:t>
      </w:r>
    </w:p>
    <w:p>
      <w:pPr>
        <w:snapToGrid w:val="0"/>
        <w:spacing w:before="145" w:beforeLines="50" w:after="145" w:afterLines="50"/>
        <w:rPr>
          <w:rFonts w:ascii="宋体" w:hAnsi="宋体"/>
          <w:sz w:val="24"/>
        </w:rPr>
      </w:pPr>
      <w:r>
        <w:rPr>
          <w:rFonts w:hint="eastAsia" w:ascii="宋体" w:hAnsi="宋体"/>
          <w:sz w:val="24"/>
        </w:rPr>
        <w:t>合同生效，货物安装、调试、验收合格后30日内，支付合同总价的100%，履约保证金转质保金，质保期满后无息返还。</w:t>
      </w:r>
    </w:p>
    <w:p>
      <w:pPr>
        <w:snapToGrid w:val="0"/>
        <w:spacing w:before="145" w:beforeLines="50" w:after="145" w:afterLines="50"/>
        <w:rPr>
          <w:rFonts w:ascii="宋体" w:hAnsi="宋体"/>
          <w:sz w:val="24"/>
        </w:rPr>
      </w:pPr>
      <w:r>
        <w:rPr>
          <w:rFonts w:hint="eastAsia" w:ascii="宋体" w:hAnsi="宋体"/>
          <w:sz w:val="24"/>
        </w:rPr>
        <w:t>10.2付款前，乙方应当提供完税发票供甲方办理付款手续。如乙方不提供完税发票的，校方有权拒绝付款。</w:t>
      </w:r>
    </w:p>
    <w:p>
      <w:pPr>
        <w:snapToGrid w:val="0"/>
        <w:spacing w:before="145" w:beforeLines="50" w:after="145" w:afterLines="50"/>
        <w:rPr>
          <w:rFonts w:ascii="宋体" w:hAnsi="宋体"/>
          <w:sz w:val="24"/>
        </w:rPr>
      </w:pPr>
      <w:r>
        <w:rPr>
          <w:rFonts w:hint="eastAsia" w:ascii="宋体" w:hAnsi="宋体"/>
          <w:sz w:val="24"/>
        </w:rPr>
        <w:t>10.3当采购数量与实际使用数量不一致时，乙方应根据实际使用量供货，合同的最终结算金额按实际使用量乘以成交单价进行计算。</w:t>
      </w:r>
    </w:p>
    <w:p>
      <w:pPr>
        <w:snapToGrid w:val="0"/>
        <w:spacing w:before="145" w:beforeLines="50" w:after="145" w:afterLines="50"/>
        <w:rPr>
          <w:rFonts w:ascii="宋体" w:hAnsi="宋体" w:eastAsia="仿宋_GB2312"/>
          <w:b/>
          <w:sz w:val="24"/>
        </w:rPr>
      </w:pPr>
      <w:r>
        <w:rPr>
          <w:rFonts w:hint="eastAsia" w:ascii="宋体" w:hAnsi="宋体"/>
          <w:b/>
          <w:sz w:val="24"/>
        </w:rPr>
        <w:t>十一</w:t>
      </w:r>
      <w:r>
        <w:rPr>
          <w:rFonts w:ascii="宋体" w:hAnsi="宋体"/>
          <w:b/>
          <w:sz w:val="24"/>
        </w:rPr>
        <w:t>.</w:t>
      </w:r>
      <w:r>
        <w:rPr>
          <w:rFonts w:hint="eastAsia" w:ascii="宋体" w:hAnsi="宋体"/>
          <w:b/>
          <w:sz w:val="24"/>
        </w:rPr>
        <w:t>税费</w:t>
      </w:r>
    </w:p>
    <w:p>
      <w:pPr>
        <w:snapToGrid w:val="0"/>
        <w:spacing w:before="145" w:beforeLines="50" w:after="145" w:afterLines="50"/>
        <w:rPr>
          <w:rFonts w:ascii="宋体" w:hAnsi="宋体" w:eastAsia="仿宋_GB2312"/>
          <w:sz w:val="24"/>
        </w:rPr>
      </w:pPr>
      <w:r>
        <w:rPr>
          <w:rFonts w:ascii="宋体" w:hAnsi="宋体"/>
          <w:sz w:val="24"/>
        </w:rPr>
        <w:t>11.1</w:t>
      </w:r>
      <w:r>
        <w:rPr>
          <w:rFonts w:hint="eastAsia" w:ascii="宋体" w:hAnsi="宋体"/>
          <w:sz w:val="24"/>
        </w:rPr>
        <w:t>本合同执行中相关的一切税费均由乙方负担。</w:t>
      </w:r>
    </w:p>
    <w:p>
      <w:pPr>
        <w:pStyle w:val="24"/>
        <w:snapToGrid w:val="0"/>
        <w:spacing w:before="120" w:after="120"/>
        <w:ind w:left="412" w:hanging="412" w:hangingChars="171"/>
        <w:rPr>
          <w:rFonts w:hAnsi="宋体"/>
          <w:sz w:val="24"/>
          <w:szCs w:val="24"/>
        </w:rPr>
      </w:pPr>
      <w:r>
        <w:rPr>
          <w:rFonts w:hAnsi="宋体"/>
          <w:b/>
          <w:sz w:val="24"/>
          <w:szCs w:val="24"/>
        </w:rPr>
        <w:t>十二、质量保证及售后服务</w:t>
      </w:r>
    </w:p>
    <w:p>
      <w:pPr>
        <w:spacing w:line="500" w:lineRule="exact"/>
        <w:rPr>
          <w:rFonts w:hAnsi="宋体"/>
          <w:sz w:val="24"/>
        </w:rPr>
      </w:pPr>
      <w:r>
        <w:rPr>
          <w:rFonts w:hAnsi="宋体"/>
          <w:sz w:val="24"/>
        </w:rPr>
        <w:t>12.1 乙方应按招标文件规定的货物性能、技术要求、质量标准向甲方提供未经使用的全新产品。</w:t>
      </w:r>
    </w:p>
    <w:p>
      <w:pPr>
        <w:spacing w:line="500" w:lineRule="exact"/>
        <w:rPr>
          <w:rFonts w:hAnsi="宋体"/>
          <w:sz w:val="24"/>
        </w:rPr>
      </w:pPr>
      <w:r>
        <w:rPr>
          <w:rFonts w:hAnsi="宋体"/>
          <w:sz w:val="24"/>
        </w:rPr>
        <w:t>12.2 乙方提供的货物在质量期内因货物本身的质量问题发生故障，乙方应负责免费更换。对达不到技术要求者，根据实际情况，经双方协商，可按以下办法处理：</w:t>
      </w:r>
    </w:p>
    <w:p>
      <w:pPr>
        <w:spacing w:line="500" w:lineRule="exact"/>
        <w:ind w:firstLine="480" w:firstLineChars="200"/>
        <w:jc w:val="left"/>
        <w:rPr>
          <w:rFonts w:hAnsi="宋体"/>
          <w:sz w:val="24"/>
        </w:rPr>
      </w:pPr>
      <w:r>
        <w:rPr>
          <w:rFonts w:hAnsi="宋体"/>
          <w:sz w:val="24"/>
        </w:rPr>
        <w:t>⑴更换：由乙方承担所发生的全部费用。</w:t>
      </w:r>
    </w:p>
    <w:p>
      <w:pPr>
        <w:spacing w:line="500" w:lineRule="exact"/>
        <w:ind w:firstLine="480" w:firstLineChars="200"/>
        <w:jc w:val="left"/>
        <w:rPr>
          <w:rFonts w:hAnsi="宋体"/>
          <w:sz w:val="24"/>
        </w:rPr>
      </w:pPr>
      <w:r>
        <w:rPr>
          <w:rFonts w:hAnsi="宋体"/>
          <w:sz w:val="24"/>
        </w:rPr>
        <w:t>⑵贬值处理：由甲乙双方合议定价。</w:t>
      </w:r>
    </w:p>
    <w:p>
      <w:pPr>
        <w:spacing w:line="500" w:lineRule="exact"/>
        <w:ind w:firstLine="480" w:firstLineChars="200"/>
        <w:jc w:val="left"/>
        <w:rPr>
          <w:rFonts w:hAnsi="宋体"/>
          <w:sz w:val="24"/>
        </w:rPr>
      </w:pPr>
      <w:r>
        <w:rPr>
          <w:rFonts w:hAnsi="宋体"/>
          <w:sz w:val="24"/>
        </w:rPr>
        <w:t>⑶退货处理：乙方应退还甲方支付的合同款，同时应承担该货物的直接费用（运输、保险、检验、货款利息及银行手续费等）。</w:t>
      </w:r>
    </w:p>
    <w:p>
      <w:pPr>
        <w:spacing w:line="500" w:lineRule="exact"/>
        <w:rPr>
          <w:rFonts w:hAnsi="宋体"/>
          <w:sz w:val="24"/>
        </w:rPr>
      </w:pPr>
      <w:r>
        <w:rPr>
          <w:rFonts w:hAnsi="宋体"/>
          <w:sz w:val="24"/>
        </w:rPr>
        <w:t>12.3 如在使用过程中发生质量问题，乙方在接到甲方通知后在_________小时内到达甲方现场。</w:t>
      </w:r>
    </w:p>
    <w:p>
      <w:pPr>
        <w:pStyle w:val="24"/>
        <w:snapToGrid w:val="0"/>
        <w:spacing w:before="120" w:after="120"/>
        <w:rPr>
          <w:rFonts w:hAnsi="宋体"/>
          <w:sz w:val="24"/>
          <w:szCs w:val="24"/>
        </w:rPr>
      </w:pPr>
      <w:r>
        <w:rPr>
          <w:rFonts w:hAnsi="宋体"/>
          <w:sz w:val="24"/>
          <w:szCs w:val="24"/>
        </w:rPr>
        <w:t>12.4 在质保期内，乙方应对货物出现的质量及安全问题负责处理解决并承担一切费用。</w:t>
      </w:r>
    </w:p>
    <w:p>
      <w:pPr>
        <w:spacing w:line="500" w:lineRule="exact"/>
        <w:rPr>
          <w:rFonts w:hAnsi="宋体"/>
          <w:sz w:val="24"/>
        </w:rPr>
      </w:pPr>
      <w:r>
        <w:rPr>
          <w:rFonts w:hAnsi="宋体"/>
          <w:sz w:val="24"/>
        </w:rPr>
        <w:t>12.5上述的货物免费保修期为</w:t>
      </w:r>
      <w:r>
        <w:rPr>
          <w:rFonts w:hint="eastAsia" w:hAnsi="宋体"/>
          <w:sz w:val="24"/>
          <w:u w:val="single"/>
          <w:lang w:eastAsia="zh-CN"/>
        </w:rPr>
        <w:t>一</w:t>
      </w:r>
      <w:r>
        <w:rPr>
          <w:rFonts w:hAnsi="宋体"/>
          <w:sz w:val="24"/>
        </w:rPr>
        <w:t>年，因人为因素出现的故障不在免费保修范围内。超过保修期的机器设备，终生维修，维修时只收部件成本费。</w:t>
      </w:r>
    </w:p>
    <w:p>
      <w:pPr>
        <w:pStyle w:val="24"/>
        <w:snapToGrid w:val="0"/>
        <w:spacing w:before="120" w:after="120"/>
        <w:rPr>
          <w:rFonts w:hAnsi="宋体"/>
          <w:b/>
          <w:sz w:val="24"/>
          <w:szCs w:val="24"/>
        </w:rPr>
      </w:pPr>
      <w:r>
        <w:rPr>
          <w:rFonts w:hAnsi="宋体"/>
          <w:b/>
          <w:sz w:val="24"/>
          <w:szCs w:val="24"/>
        </w:rPr>
        <w:t>十三、调试和验收</w:t>
      </w:r>
    </w:p>
    <w:p>
      <w:pPr>
        <w:spacing w:line="500" w:lineRule="exact"/>
        <w:rPr>
          <w:rFonts w:hAnsi="宋体"/>
          <w:sz w:val="24"/>
        </w:rPr>
      </w:pPr>
      <w:r>
        <w:rPr>
          <w:rFonts w:hAnsi="宋体"/>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500" w:lineRule="exact"/>
        <w:rPr>
          <w:rFonts w:hAnsi="宋体"/>
          <w:sz w:val="24"/>
        </w:rPr>
      </w:pPr>
      <w:r>
        <w:rPr>
          <w:rFonts w:hAnsi="宋体"/>
          <w:sz w:val="24"/>
        </w:rPr>
        <w:t>13.2 乙方交货前应对产品作出全面检查和对验收文件进行整理，并列出清单，作为甲方收货验收和使用的技术条件依据，检验的结果应随货物交甲方。</w:t>
      </w:r>
    </w:p>
    <w:p>
      <w:pPr>
        <w:spacing w:line="500" w:lineRule="exact"/>
        <w:rPr>
          <w:rFonts w:hAnsi="宋体"/>
          <w:sz w:val="24"/>
        </w:rPr>
      </w:pPr>
      <w:r>
        <w:rPr>
          <w:rFonts w:hAnsi="宋体"/>
          <w:sz w:val="24"/>
        </w:rPr>
        <w:t>13.3 甲方对乙方提供的货物在使用前进行调试时，乙方需负责安装并培训甲方的使用操作人员，并协助甲方一起调试，直到符合技术要求，甲方才做最终验收。</w:t>
      </w:r>
    </w:p>
    <w:p>
      <w:pPr>
        <w:spacing w:line="500" w:lineRule="exact"/>
        <w:rPr>
          <w:rFonts w:hAnsi="宋体"/>
          <w:sz w:val="24"/>
        </w:rPr>
      </w:pPr>
      <w:r>
        <w:rPr>
          <w:rFonts w:hAnsi="宋体"/>
          <w:sz w:val="24"/>
        </w:rPr>
        <w:t>13.4 对技术复杂的货物，甲方</w:t>
      </w:r>
      <w:r>
        <w:rPr>
          <w:rFonts w:hint="eastAsia" w:hAnsi="宋体"/>
          <w:sz w:val="24"/>
        </w:rPr>
        <w:t>可</w:t>
      </w:r>
      <w:r>
        <w:rPr>
          <w:rFonts w:hAnsi="宋体"/>
          <w:sz w:val="24"/>
        </w:rPr>
        <w:t>请国家认可的专业检测机构参与初步验收及最终验收，并由其出具质量检测报告。</w:t>
      </w:r>
    </w:p>
    <w:p>
      <w:pPr>
        <w:spacing w:line="500" w:lineRule="exact"/>
        <w:rPr>
          <w:rFonts w:hAnsi="宋体"/>
          <w:sz w:val="24"/>
        </w:rPr>
      </w:pPr>
      <w:r>
        <w:rPr>
          <w:rFonts w:hAnsi="宋体"/>
          <w:sz w:val="24"/>
        </w:rPr>
        <w:t>13.5 验收时乙方必须在现场，验收完毕后作出验收结果报告；验收费用由</w:t>
      </w:r>
      <w:r>
        <w:rPr>
          <w:rFonts w:hint="eastAsia" w:hAnsi="宋体"/>
          <w:sz w:val="24"/>
        </w:rPr>
        <w:t>甲</w:t>
      </w:r>
      <w:r>
        <w:rPr>
          <w:rFonts w:hAnsi="宋体"/>
          <w:sz w:val="24"/>
        </w:rPr>
        <w:t>乙</w:t>
      </w:r>
      <w:r>
        <w:rPr>
          <w:rFonts w:hint="eastAsia" w:hAnsi="宋体"/>
          <w:sz w:val="24"/>
        </w:rPr>
        <w:t>双</w:t>
      </w:r>
      <w:r>
        <w:rPr>
          <w:rFonts w:hAnsi="宋体"/>
          <w:sz w:val="24"/>
        </w:rPr>
        <w:t>方</w:t>
      </w:r>
      <w:r>
        <w:rPr>
          <w:rFonts w:hint="eastAsia" w:hAnsi="宋体"/>
          <w:sz w:val="24"/>
        </w:rPr>
        <w:t>协商解决</w:t>
      </w:r>
      <w:r>
        <w:rPr>
          <w:rFonts w:hAnsi="宋体"/>
          <w:sz w:val="24"/>
        </w:rPr>
        <w:t>。</w:t>
      </w:r>
    </w:p>
    <w:p>
      <w:pPr>
        <w:pStyle w:val="24"/>
        <w:snapToGrid w:val="0"/>
        <w:spacing w:before="120" w:after="120"/>
        <w:rPr>
          <w:rFonts w:hAnsi="宋体"/>
          <w:b/>
          <w:sz w:val="24"/>
          <w:szCs w:val="24"/>
        </w:rPr>
      </w:pPr>
      <w:r>
        <w:rPr>
          <w:rFonts w:hAnsi="宋体"/>
          <w:b/>
          <w:sz w:val="24"/>
          <w:szCs w:val="24"/>
        </w:rPr>
        <w:t>十四、货物包装、发运及运输</w:t>
      </w:r>
    </w:p>
    <w:p>
      <w:pPr>
        <w:spacing w:line="500" w:lineRule="exact"/>
        <w:rPr>
          <w:rFonts w:hAnsi="宋体"/>
          <w:sz w:val="24"/>
        </w:rPr>
      </w:pPr>
      <w:r>
        <w:rPr>
          <w:rFonts w:hAnsi="宋体"/>
          <w:sz w:val="24"/>
        </w:rPr>
        <w:t>14.1 乙方应在货物发运前对其进行满足运输距离、防潮、防震、防锈和防破损装卸等要求包装，以保证货物安全运达甲方指定地点。</w:t>
      </w:r>
    </w:p>
    <w:p>
      <w:pPr>
        <w:spacing w:line="500" w:lineRule="exact"/>
        <w:rPr>
          <w:rFonts w:hAnsi="宋体"/>
          <w:sz w:val="24"/>
        </w:rPr>
      </w:pPr>
      <w:r>
        <w:rPr>
          <w:rFonts w:hAnsi="宋体"/>
          <w:sz w:val="24"/>
        </w:rPr>
        <w:t>14.2 使用说明书、质量检验证明书、随配附件和工具以及清单一并附于货物内。</w:t>
      </w:r>
    </w:p>
    <w:p>
      <w:pPr>
        <w:spacing w:line="500" w:lineRule="exact"/>
        <w:rPr>
          <w:rFonts w:hAnsi="宋体"/>
          <w:sz w:val="24"/>
        </w:rPr>
      </w:pPr>
      <w:r>
        <w:rPr>
          <w:rFonts w:hAnsi="宋体"/>
          <w:sz w:val="24"/>
        </w:rPr>
        <w:t>14.3 乙方在货物发运手续办理完毕后24小时内或货到甲方48小时前通知甲方，以准备接货。</w:t>
      </w:r>
    </w:p>
    <w:p>
      <w:pPr>
        <w:spacing w:line="500" w:lineRule="exact"/>
        <w:rPr>
          <w:rFonts w:hAnsi="宋体"/>
          <w:sz w:val="24"/>
        </w:rPr>
      </w:pPr>
      <w:r>
        <w:rPr>
          <w:rFonts w:hAnsi="宋体"/>
          <w:sz w:val="24"/>
        </w:rPr>
        <w:t>14.4 货物在交付甲方前发生的风险均由乙方负责。</w:t>
      </w:r>
    </w:p>
    <w:p>
      <w:pPr>
        <w:spacing w:line="500" w:lineRule="exact"/>
        <w:rPr>
          <w:rFonts w:hAnsi="宋体"/>
          <w:sz w:val="24"/>
        </w:rPr>
      </w:pPr>
      <w:r>
        <w:rPr>
          <w:rFonts w:hAnsi="宋体"/>
          <w:sz w:val="24"/>
        </w:rPr>
        <w:t>14.5 货物在规定的交付期限内由乙方送达甲方指定的地点视为交付，乙方同时需通知甲方货物已送达。</w:t>
      </w:r>
    </w:p>
    <w:p>
      <w:pPr>
        <w:pStyle w:val="24"/>
        <w:snapToGrid w:val="0"/>
        <w:spacing w:before="120" w:after="120"/>
        <w:rPr>
          <w:rFonts w:hAnsi="宋体"/>
          <w:b/>
          <w:sz w:val="24"/>
          <w:szCs w:val="24"/>
        </w:rPr>
      </w:pPr>
      <w:r>
        <w:rPr>
          <w:rFonts w:hAnsi="宋体"/>
          <w:b/>
          <w:sz w:val="24"/>
          <w:szCs w:val="24"/>
        </w:rPr>
        <w:t>十五、违约责任</w:t>
      </w:r>
    </w:p>
    <w:p>
      <w:pPr>
        <w:spacing w:line="500" w:lineRule="exact"/>
        <w:rPr>
          <w:rFonts w:hAnsi="宋体"/>
          <w:sz w:val="24"/>
        </w:rPr>
      </w:pPr>
      <w:r>
        <w:rPr>
          <w:rFonts w:hAnsi="宋体"/>
          <w:sz w:val="24"/>
        </w:rPr>
        <w:t>15.1 甲方无正当理由拒收货物的，甲方向乙方偿付拒收货款总值的百分之五违约金。</w:t>
      </w:r>
    </w:p>
    <w:p>
      <w:pPr>
        <w:spacing w:line="500" w:lineRule="exact"/>
        <w:rPr>
          <w:rFonts w:hAnsi="宋体"/>
          <w:sz w:val="24"/>
        </w:rPr>
      </w:pPr>
      <w:r>
        <w:rPr>
          <w:rFonts w:hAnsi="宋体"/>
          <w:sz w:val="24"/>
        </w:rPr>
        <w:t>15.2 甲方无故逾期验收和办理货款支付手续的,甲方应按逾期付款总额每日万分之五向乙方支付违约金。</w:t>
      </w:r>
    </w:p>
    <w:p>
      <w:pPr>
        <w:spacing w:line="500" w:lineRule="exact"/>
        <w:rPr>
          <w:rFonts w:hAnsi="宋体"/>
          <w:sz w:val="24"/>
        </w:rPr>
      </w:pPr>
      <w:r>
        <w:rPr>
          <w:rFonts w:hAnsi="宋体"/>
          <w:sz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500" w:lineRule="exact"/>
        <w:rPr>
          <w:rFonts w:hAnsi="宋体"/>
          <w:sz w:val="24"/>
        </w:rPr>
      </w:pPr>
      <w:r>
        <w:rPr>
          <w:rFonts w:hAnsi="宋体"/>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snapToGrid w:val="0"/>
        <w:spacing w:before="120" w:after="120"/>
        <w:rPr>
          <w:rFonts w:hAnsi="宋体"/>
          <w:b/>
          <w:sz w:val="24"/>
          <w:szCs w:val="24"/>
        </w:rPr>
      </w:pPr>
      <w:r>
        <w:rPr>
          <w:rFonts w:hAnsi="宋体"/>
          <w:b/>
          <w:sz w:val="24"/>
          <w:szCs w:val="24"/>
        </w:rPr>
        <w:t>十六、不可抗力事件处理</w:t>
      </w:r>
    </w:p>
    <w:p>
      <w:pPr>
        <w:spacing w:line="500" w:lineRule="exact"/>
        <w:rPr>
          <w:rFonts w:hAnsi="宋体"/>
          <w:sz w:val="24"/>
        </w:rPr>
      </w:pPr>
      <w:r>
        <w:rPr>
          <w:rFonts w:hAnsi="宋体"/>
          <w:sz w:val="24"/>
        </w:rPr>
        <w:t>16.1 在合同有效期内，任何一方因不可抗力事件导致不能履行合同，则合同履行期可延长，其延长期与不可抗力影响期相同。</w:t>
      </w:r>
    </w:p>
    <w:p>
      <w:pPr>
        <w:spacing w:line="500" w:lineRule="exact"/>
        <w:rPr>
          <w:rFonts w:hAnsi="宋体"/>
          <w:sz w:val="24"/>
        </w:rPr>
      </w:pPr>
      <w:r>
        <w:rPr>
          <w:rFonts w:hAnsi="宋体"/>
          <w:sz w:val="24"/>
        </w:rPr>
        <w:t>16.2 不可抗力事件发生后，应立即通知对方，并寄送有关权威机构出具的证明。</w:t>
      </w:r>
    </w:p>
    <w:p>
      <w:pPr>
        <w:spacing w:line="500" w:lineRule="exact"/>
        <w:rPr>
          <w:rFonts w:hAnsi="宋体"/>
          <w:sz w:val="24"/>
        </w:rPr>
      </w:pPr>
      <w:r>
        <w:rPr>
          <w:rFonts w:hAnsi="宋体"/>
          <w:sz w:val="24"/>
        </w:rPr>
        <w:t>16.3 不可抗力事件延续120天以上，双方应通过友好协商，确定是否继续履行合同。</w:t>
      </w:r>
    </w:p>
    <w:p>
      <w:pPr>
        <w:pStyle w:val="24"/>
        <w:snapToGrid w:val="0"/>
        <w:spacing w:before="120" w:after="120"/>
        <w:rPr>
          <w:rFonts w:hAnsi="宋体"/>
          <w:b/>
          <w:sz w:val="24"/>
          <w:szCs w:val="24"/>
        </w:rPr>
      </w:pPr>
      <w:r>
        <w:rPr>
          <w:rFonts w:hAnsi="宋体"/>
          <w:b/>
          <w:sz w:val="24"/>
          <w:szCs w:val="24"/>
        </w:rPr>
        <w:t>十七、诉讼</w:t>
      </w:r>
    </w:p>
    <w:p>
      <w:pPr>
        <w:spacing w:line="500" w:lineRule="exact"/>
        <w:rPr>
          <w:rFonts w:hAnsi="宋体"/>
          <w:sz w:val="24"/>
        </w:rPr>
      </w:pPr>
      <w:r>
        <w:rPr>
          <w:rFonts w:hAnsi="宋体"/>
          <w:sz w:val="24"/>
        </w:rPr>
        <w:t>17.1 双方在执行合同中所发生的一切争议，应通过协商解决。如协商不成，可向合同签订地法院起诉，合同签订地在此约定为</w:t>
      </w:r>
      <w:r>
        <w:rPr>
          <w:rFonts w:hint="eastAsia" w:hAnsi="宋体"/>
          <w:sz w:val="24"/>
        </w:rPr>
        <w:t>盐城</w:t>
      </w:r>
      <w:r>
        <w:rPr>
          <w:rFonts w:hAnsi="宋体"/>
          <w:sz w:val="24"/>
        </w:rPr>
        <w:t>市。</w:t>
      </w:r>
    </w:p>
    <w:p>
      <w:pPr>
        <w:pStyle w:val="24"/>
        <w:snapToGrid w:val="0"/>
        <w:spacing w:before="120" w:after="120"/>
        <w:rPr>
          <w:rFonts w:hAnsi="宋体"/>
          <w:b/>
          <w:sz w:val="24"/>
          <w:szCs w:val="24"/>
        </w:rPr>
      </w:pPr>
      <w:r>
        <w:rPr>
          <w:rFonts w:hAnsi="宋体"/>
          <w:b/>
          <w:sz w:val="24"/>
          <w:szCs w:val="24"/>
        </w:rPr>
        <w:t>十八、合同生效及其它</w:t>
      </w:r>
    </w:p>
    <w:p>
      <w:pPr>
        <w:spacing w:line="500" w:lineRule="exact"/>
        <w:rPr>
          <w:rFonts w:hAnsi="宋体"/>
          <w:sz w:val="24"/>
        </w:rPr>
      </w:pPr>
      <w:r>
        <w:rPr>
          <w:rFonts w:hAnsi="宋体"/>
          <w:sz w:val="24"/>
        </w:rPr>
        <w:t>18.1 合同经双方法定代表人或授权委托代</w:t>
      </w:r>
      <w:r>
        <w:rPr>
          <w:rFonts w:hint="eastAsia" w:hAnsi="宋体"/>
          <w:sz w:val="24"/>
        </w:rPr>
        <w:t>表</w:t>
      </w:r>
      <w:r>
        <w:rPr>
          <w:rFonts w:hAnsi="宋体"/>
          <w:sz w:val="24"/>
        </w:rPr>
        <w:t>人签字并加盖单位公章</w:t>
      </w:r>
      <w:r>
        <w:rPr>
          <w:rFonts w:hint="eastAsia" w:hAnsi="宋体"/>
          <w:sz w:val="24"/>
        </w:rPr>
        <w:t>。</w:t>
      </w:r>
    </w:p>
    <w:p>
      <w:pPr>
        <w:spacing w:line="500" w:lineRule="exact"/>
        <w:rPr>
          <w:rFonts w:hAnsi="宋体"/>
          <w:sz w:val="24"/>
        </w:rPr>
      </w:pPr>
      <w:r>
        <w:rPr>
          <w:rFonts w:hAnsi="宋体"/>
          <w:sz w:val="24"/>
        </w:rPr>
        <w:t>18.2本合同未尽事宜，遵照《合同法》有关条文执行。</w:t>
      </w:r>
    </w:p>
    <w:p>
      <w:pPr>
        <w:spacing w:line="500" w:lineRule="exact"/>
        <w:rPr>
          <w:rFonts w:hAnsi="宋体"/>
          <w:sz w:val="24"/>
        </w:rPr>
      </w:pPr>
      <w:r>
        <w:rPr>
          <w:rFonts w:hAnsi="宋体"/>
          <w:sz w:val="24"/>
        </w:rPr>
        <w:t>18.</w:t>
      </w:r>
      <w:r>
        <w:rPr>
          <w:rFonts w:hint="eastAsia" w:hAnsi="宋体"/>
          <w:sz w:val="24"/>
        </w:rPr>
        <w:t>3</w:t>
      </w:r>
      <w:r>
        <w:rPr>
          <w:rFonts w:hAnsi="宋体"/>
          <w:sz w:val="24"/>
        </w:rPr>
        <w:t xml:space="preserve"> 本合同正本一式</w:t>
      </w:r>
      <w:r>
        <w:rPr>
          <w:rFonts w:hint="eastAsia" w:hAnsi="宋体"/>
          <w:sz w:val="24"/>
        </w:rPr>
        <w:t>三</w:t>
      </w:r>
      <w:r>
        <w:rPr>
          <w:rFonts w:hAnsi="宋体"/>
          <w:sz w:val="24"/>
        </w:rPr>
        <w:t>份，具有同等法律效力，甲</w:t>
      </w:r>
      <w:r>
        <w:rPr>
          <w:rFonts w:hint="eastAsia" w:hAnsi="宋体"/>
          <w:sz w:val="24"/>
        </w:rPr>
        <w:t>方、</w:t>
      </w:r>
      <w:r>
        <w:rPr>
          <w:rFonts w:hAnsi="宋体"/>
          <w:sz w:val="24"/>
        </w:rPr>
        <w:t>乙方</w:t>
      </w:r>
      <w:r>
        <w:rPr>
          <w:rFonts w:hint="eastAsia" w:hAnsi="宋体"/>
          <w:sz w:val="24"/>
        </w:rPr>
        <w:t>、财政监管部门</w:t>
      </w:r>
      <w:r>
        <w:rPr>
          <w:rFonts w:hAnsi="宋体"/>
          <w:sz w:val="24"/>
        </w:rPr>
        <w:t>各执一份。</w:t>
      </w:r>
    </w:p>
    <w:p>
      <w:pPr>
        <w:spacing w:line="500" w:lineRule="exact"/>
        <w:rPr>
          <w:rFonts w:hAnsi="宋体"/>
          <w:sz w:val="24"/>
        </w:rPr>
      </w:pPr>
    </w:p>
    <w:p>
      <w:pPr>
        <w:spacing w:line="500" w:lineRule="exact"/>
        <w:rPr>
          <w:rFonts w:hAnsi="宋体"/>
          <w:sz w:val="24"/>
        </w:rPr>
      </w:pPr>
    </w:p>
    <w:p>
      <w:pPr>
        <w:pStyle w:val="24"/>
        <w:snapToGrid w:val="0"/>
        <w:spacing w:before="120" w:after="120"/>
        <w:ind w:left="480" w:hanging="480" w:hangingChars="200"/>
        <w:rPr>
          <w:rFonts w:hAnsi="宋体"/>
          <w:sz w:val="24"/>
          <w:szCs w:val="24"/>
        </w:rPr>
      </w:pPr>
      <w:r>
        <w:rPr>
          <w:rFonts w:hAnsi="宋体"/>
          <w:sz w:val="24"/>
          <w:szCs w:val="24"/>
        </w:rPr>
        <w:t xml:space="preserve">  甲方：                                   乙方： </w:t>
      </w:r>
    </w:p>
    <w:p>
      <w:pPr>
        <w:pStyle w:val="24"/>
        <w:snapToGrid w:val="0"/>
        <w:spacing w:before="120" w:after="120"/>
        <w:rPr>
          <w:rFonts w:hAnsi="宋体"/>
          <w:sz w:val="24"/>
          <w:szCs w:val="24"/>
        </w:rPr>
      </w:pPr>
      <w:r>
        <w:rPr>
          <w:rFonts w:hAnsi="宋体"/>
          <w:sz w:val="24"/>
          <w:szCs w:val="24"/>
        </w:rPr>
        <w:t xml:space="preserve">  地址：                                   地址： </w:t>
      </w:r>
    </w:p>
    <w:p>
      <w:pPr>
        <w:pStyle w:val="24"/>
        <w:snapToGrid w:val="0"/>
        <w:spacing w:before="120" w:after="120"/>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24"/>
        <w:snapToGrid w:val="0"/>
        <w:spacing w:before="120" w:after="120"/>
        <w:rPr>
          <w:rFonts w:hAnsi="宋体"/>
          <w:sz w:val="24"/>
          <w:szCs w:val="24"/>
        </w:rPr>
      </w:pPr>
      <w:r>
        <w:rPr>
          <w:rFonts w:hAnsi="宋体"/>
          <w:sz w:val="24"/>
          <w:szCs w:val="24"/>
        </w:rPr>
        <w:t xml:space="preserve">  </w:t>
      </w:r>
      <w:r>
        <w:rPr>
          <w:rFonts w:hint="eastAsia" w:hAnsi="宋体"/>
          <w:sz w:val="24"/>
          <w:szCs w:val="24"/>
        </w:rPr>
        <w:t xml:space="preserve">联系电话：                              </w:t>
      </w:r>
      <w:r>
        <w:rPr>
          <w:rFonts w:hAnsi="宋体"/>
          <w:sz w:val="24"/>
          <w:szCs w:val="24"/>
        </w:rPr>
        <w:t xml:space="preserve"> </w:t>
      </w:r>
      <w:r>
        <w:rPr>
          <w:rFonts w:hint="eastAsia" w:hAnsi="宋体"/>
          <w:sz w:val="24"/>
          <w:szCs w:val="24"/>
        </w:rPr>
        <w:t>联系电话：</w:t>
      </w:r>
    </w:p>
    <w:p>
      <w:pPr>
        <w:pStyle w:val="24"/>
        <w:snapToGrid w:val="0"/>
        <w:spacing w:before="120" w:after="120"/>
        <w:rPr>
          <w:kern w:val="15"/>
          <w:position w:val="2"/>
          <w:sz w:val="28"/>
        </w:rPr>
      </w:pPr>
      <w:r>
        <w:t xml:space="preserve">                   </w:t>
      </w:r>
      <w:r>
        <w:rPr>
          <w:rFonts w:hint="eastAsia"/>
        </w:rPr>
        <w:t xml:space="preserve">               </w:t>
      </w:r>
      <w:r>
        <w:rPr>
          <w:rFonts w:hint="eastAsia" w:hAnsi="宋体"/>
          <w:sz w:val="24"/>
          <w:szCs w:val="24"/>
        </w:rPr>
        <w:t xml:space="preserve">       </w:t>
      </w:r>
      <w:r>
        <w:rPr>
          <w:rFonts w:hAnsi="宋体"/>
          <w:sz w:val="24"/>
          <w:szCs w:val="24"/>
        </w:rPr>
        <w:t xml:space="preserve"> 签订日期：      年  月  日</w:t>
      </w:r>
    </w:p>
    <w:p>
      <w:pPr>
        <w:rPr>
          <w:rFonts w:ascii="黑体" w:hAnsi="黑体" w:eastAsia="黑体"/>
          <w:bCs/>
          <w:kern w:val="44"/>
          <w:sz w:val="36"/>
          <w:szCs w:val="36"/>
        </w:rPr>
      </w:pPr>
      <w:r>
        <w:rPr>
          <w:rFonts w:ascii="黑体" w:hAnsi="黑体" w:eastAsia="黑体"/>
          <w:bCs/>
          <w:kern w:val="44"/>
          <w:sz w:val="36"/>
          <w:szCs w:val="36"/>
        </w:rPr>
        <w:br w:type="page"/>
      </w:r>
    </w:p>
    <w:p>
      <w:pPr>
        <w:pStyle w:val="24"/>
        <w:pageBreakBefore/>
        <w:snapToGrid w:val="0"/>
        <w:jc w:val="center"/>
        <w:rPr>
          <w:rFonts w:ascii="黑体" w:hAnsi="黑体" w:eastAsia="黑体"/>
          <w:sz w:val="36"/>
          <w:szCs w:val="36"/>
        </w:rPr>
      </w:pPr>
      <w:r>
        <w:rPr>
          <w:rFonts w:ascii="黑体" w:hAnsi="黑体" w:eastAsia="黑体"/>
          <w:bCs/>
          <w:kern w:val="44"/>
          <w:sz w:val="36"/>
          <w:szCs w:val="36"/>
        </w:rPr>
        <w:t>第五部分  响应性文件格式</w:t>
      </w:r>
    </w:p>
    <w:p>
      <w:pPr>
        <w:widowControl/>
        <w:jc w:val="center"/>
        <w:rPr>
          <w:rFonts w:ascii="黑体" w:hAnsi="黑体" w:eastAsia="黑体"/>
          <w:b/>
          <w:sz w:val="32"/>
          <w:szCs w:val="32"/>
        </w:rPr>
      </w:pPr>
    </w:p>
    <w:p>
      <w:pPr>
        <w:widowControl/>
        <w:jc w:val="center"/>
        <w:rPr>
          <w:rFonts w:ascii="黑体" w:hAnsi="Arial" w:eastAsia="黑体"/>
          <w:sz w:val="32"/>
          <w:szCs w:val="32"/>
        </w:rPr>
      </w:pPr>
      <w:r>
        <w:rPr>
          <w:rFonts w:hint="eastAsia" w:ascii="黑体" w:hAnsi="黑体" w:eastAsia="黑体"/>
          <w:b/>
          <w:sz w:val="32"/>
          <w:szCs w:val="32"/>
        </w:rPr>
        <w:t>响应主要文件目录</w:t>
      </w:r>
    </w:p>
    <w:p>
      <w:pPr>
        <w:spacing w:line="440" w:lineRule="exact"/>
        <w:jc w:val="center"/>
        <w:rPr>
          <w:rFonts w:ascii="宋体" w:hAnsi="宋体"/>
          <w:b/>
          <w:bCs/>
          <w:sz w:val="32"/>
          <w:szCs w:val="32"/>
        </w:rPr>
      </w:pPr>
    </w:p>
    <w:p>
      <w:pPr>
        <w:spacing w:line="520" w:lineRule="exact"/>
        <w:ind w:firstLine="480" w:firstLineChars="200"/>
        <w:rPr>
          <w:rFonts w:ascii="宋体" w:hAnsi="宋体"/>
          <w:bCs/>
          <w:sz w:val="24"/>
        </w:rPr>
      </w:pPr>
      <w:r>
        <w:rPr>
          <w:rFonts w:hint="eastAsia" w:ascii="宋体" w:hAnsi="宋体"/>
          <w:sz w:val="24"/>
        </w:rPr>
        <w:t>一、</w:t>
      </w:r>
      <w:r>
        <w:rPr>
          <w:rFonts w:hint="eastAsia" w:ascii="宋体" w:hAnsi="宋体"/>
          <w:bCs/>
          <w:sz w:val="24"/>
        </w:rPr>
        <w:t>资信证明文件</w:t>
      </w:r>
    </w:p>
    <w:p>
      <w:pPr>
        <w:spacing w:line="520" w:lineRule="exact"/>
        <w:ind w:firstLine="482" w:firstLineChars="200"/>
        <w:rPr>
          <w:rFonts w:ascii="宋体" w:hAnsi="宋体"/>
          <w:sz w:val="24"/>
        </w:rPr>
      </w:pPr>
      <w:r>
        <w:rPr>
          <w:rFonts w:hint="eastAsia" w:ascii="宋体" w:hAnsi="宋体"/>
          <w:b/>
          <w:bCs/>
          <w:sz w:val="24"/>
        </w:rPr>
        <w:t>二</w:t>
      </w:r>
      <w:r>
        <w:rPr>
          <w:rFonts w:hint="eastAsia" w:ascii="宋体" w:hAnsi="宋体"/>
          <w:sz w:val="24"/>
        </w:rPr>
        <w:t>、资格性审查响应对照表</w:t>
      </w:r>
    </w:p>
    <w:p>
      <w:pPr>
        <w:spacing w:line="520" w:lineRule="exact"/>
        <w:ind w:firstLine="480" w:firstLineChars="200"/>
        <w:rPr>
          <w:rFonts w:ascii="宋体" w:hAnsi="宋体"/>
          <w:bCs/>
          <w:sz w:val="24"/>
        </w:rPr>
      </w:pPr>
      <w:r>
        <w:rPr>
          <w:rFonts w:hint="eastAsia" w:ascii="宋体" w:hAnsi="宋体"/>
          <w:sz w:val="24"/>
        </w:rPr>
        <w:t>三、符合性检查响应对照表</w:t>
      </w:r>
    </w:p>
    <w:p>
      <w:pPr>
        <w:spacing w:line="520" w:lineRule="exact"/>
        <w:ind w:firstLine="480" w:firstLineChars="200"/>
        <w:rPr>
          <w:rFonts w:ascii="宋体" w:hAnsi="宋体"/>
          <w:bCs/>
          <w:sz w:val="24"/>
        </w:rPr>
      </w:pPr>
      <w:r>
        <w:rPr>
          <w:rFonts w:hint="eastAsia" w:ascii="宋体" w:hAnsi="宋体"/>
          <w:bCs/>
          <w:sz w:val="24"/>
        </w:rPr>
        <w:t>四、响应函</w:t>
      </w:r>
    </w:p>
    <w:p>
      <w:pPr>
        <w:spacing w:line="520" w:lineRule="exact"/>
        <w:ind w:firstLine="480" w:firstLineChars="200"/>
        <w:rPr>
          <w:rFonts w:ascii="宋体" w:hAnsi="宋体"/>
          <w:bCs/>
          <w:sz w:val="24"/>
        </w:rPr>
      </w:pPr>
      <w:r>
        <w:rPr>
          <w:rFonts w:hint="eastAsia" w:ascii="宋体" w:hAnsi="宋体"/>
          <w:bCs/>
          <w:sz w:val="24"/>
        </w:rPr>
        <w:t>五、协商一览表</w:t>
      </w:r>
    </w:p>
    <w:p>
      <w:pPr>
        <w:spacing w:line="520" w:lineRule="exact"/>
        <w:ind w:firstLine="480" w:firstLineChars="200"/>
        <w:rPr>
          <w:rFonts w:ascii="宋体" w:hAnsi="宋体"/>
          <w:sz w:val="24"/>
        </w:rPr>
      </w:pPr>
      <w:r>
        <w:rPr>
          <w:rFonts w:hint="eastAsia" w:ascii="宋体" w:hAnsi="宋体"/>
          <w:sz w:val="24"/>
        </w:rPr>
        <w:t>六、技术方案、服务承诺、培训承诺等</w:t>
      </w:r>
    </w:p>
    <w:p>
      <w:pPr>
        <w:spacing w:line="520" w:lineRule="exact"/>
        <w:ind w:firstLine="480" w:firstLineChars="200"/>
        <w:rPr>
          <w:rFonts w:ascii="宋体" w:hAnsi="宋体"/>
          <w:sz w:val="24"/>
        </w:rPr>
      </w:pPr>
      <w:r>
        <w:rPr>
          <w:rFonts w:hint="eastAsia" w:ascii="宋体" w:hAnsi="宋体"/>
          <w:sz w:val="24"/>
        </w:rPr>
        <w:t>七、盐城市政府采购事前信用承诺书</w:t>
      </w:r>
    </w:p>
    <w:p>
      <w:pPr>
        <w:widowControl/>
        <w:jc w:val="left"/>
        <w:rPr>
          <w:rFonts w:ascii="黑体" w:hAnsi="Arial" w:eastAsia="黑体"/>
          <w:sz w:val="32"/>
          <w:szCs w:val="32"/>
        </w:rPr>
      </w:pPr>
    </w:p>
    <w:p>
      <w:pPr>
        <w:pageBreakBefore/>
        <w:spacing w:line="360" w:lineRule="auto"/>
        <w:jc w:val="center"/>
        <w:rPr>
          <w:rFonts w:ascii="黑体" w:hAnsi="Arial" w:eastAsia="黑体"/>
          <w:sz w:val="32"/>
          <w:szCs w:val="32"/>
        </w:rPr>
      </w:pPr>
      <w:r>
        <w:rPr>
          <w:rFonts w:hint="eastAsia" w:ascii="黑体" w:hAnsi="Arial" w:eastAsia="黑体"/>
          <w:sz w:val="32"/>
          <w:szCs w:val="32"/>
        </w:rPr>
        <w:t>一、相关资信证明</w:t>
      </w:r>
    </w:p>
    <w:p>
      <w:pPr>
        <w:spacing w:line="360" w:lineRule="auto"/>
        <w:ind w:firstLine="480" w:firstLineChars="200"/>
        <w:rPr>
          <w:rFonts w:ascii="黑体" w:hAnsi="Arial" w:eastAsia="黑体"/>
          <w:sz w:val="32"/>
          <w:szCs w:val="32"/>
        </w:rPr>
      </w:pPr>
      <w:r>
        <w:rPr>
          <w:rFonts w:hint="eastAsia" w:ascii="宋体" w:hAnsi="宋体" w:cs="宋体"/>
          <w:sz w:val="24"/>
        </w:rPr>
        <w:t>文件1  法人或者其他组织的营业执照等证明文件，自然人的身份证明（复印件）</w:t>
      </w:r>
    </w:p>
    <w:p>
      <w:pPr>
        <w:snapToGrid w:val="0"/>
        <w:spacing w:line="360" w:lineRule="auto"/>
        <w:ind w:firstLine="480" w:firstLineChars="200"/>
        <w:rPr>
          <w:rFonts w:ascii="宋体" w:hAnsi="宋体" w:cs="宋体"/>
          <w:sz w:val="24"/>
        </w:rPr>
      </w:pPr>
      <w:r>
        <w:rPr>
          <w:rFonts w:hint="eastAsia" w:ascii="宋体" w:hAnsi="宋体" w:cs="宋体"/>
          <w:sz w:val="24"/>
        </w:rPr>
        <w:t>文件2  上一年度财务状况报表（复印件，成立不满一年不需提供）</w:t>
      </w:r>
    </w:p>
    <w:p>
      <w:pPr>
        <w:snapToGrid w:val="0"/>
        <w:spacing w:line="360" w:lineRule="auto"/>
        <w:ind w:firstLine="480" w:firstLineChars="200"/>
        <w:rPr>
          <w:rFonts w:ascii="宋体" w:hAnsi="宋体" w:cs="宋体"/>
          <w:sz w:val="24"/>
        </w:rPr>
      </w:pPr>
      <w:r>
        <w:rPr>
          <w:rFonts w:hint="eastAsia" w:ascii="宋体" w:hAnsi="宋体" w:cs="宋体"/>
          <w:sz w:val="24"/>
        </w:rPr>
        <w:t>文件3  依法缴纳税收和社会保障资金的相关材料（复印件）</w:t>
      </w:r>
    </w:p>
    <w:p>
      <w:pPr>
        <w:snapToGrid w:val="0"/>
        <w:spacing w:line="360" w:lineRule="auto"/>
        <w:ind w:firstLine="480" w:firstLineChars="200"/>
        <w:rPr>
          <w:rFonts w:ascii="宋体" w:hAnsi="宋体" w:cs="宋体"/>
          <w:sz w:val="24"/>
        </w:rPr>
      </w:pPr>
      <w:r>
        <w:rPr>
          <w:rFonts w:hint="eastAsia" w:ascii="宋体" w:hAnsi="宋体" w:cs="宋体"/>
          <w:sz w:val="24"/>
        </w:rPr>
        <w:t>文件4  具备履行合同所必需的设备和专业技术能力证明材料</w:t>
      </w:r>
    </w:p>
    <w:p>
      <w:pPr>
        <w:snapToGrid w:val="0"/>
        <w:spacing w:line="360" w:lineRule="auto"/>
        <w:ind w:firstLine="480" w:firstLineChars="200"/>
        <w:rPr>
          <w:rFonts w:ascii="宋体" w:hAnsi="宋体" w:cs="宋体"/>
          <w:sz w:val="24"/>
        </w:rPr>
      </w:pPr>
      <w:r>
        <w:rPr>
          <w:rFonts w:hint="eastAsia" w:ascii="宋体" w:hAnsi="宋体" w:cs="宋体"/>
          <w:sz w:val="24"/>
        </w:rPr>
        <w:t>文件5  参加政府采购活动前 3 年内在经营活动中没有重大违法记录的书面声明</w:t>
      </w:r>
    </w:p>
    <w:p>
      <w:pPr>
        <w:snapToGrid w:val="0"/>
        <w:spacing w:line="360" w:lineRule="auto"/>
        <w:ind w:firstLine="480" w:firstLineChars="200"/>
        <w:rPr>
          <w:rFonts w:ascii="宋体" w:hAnsi="宋体" w:cs="宋体"/>
          <w:sz w:val="24"/>
        </w:rPr>
      </w:pPr>
      <w:r>
        <w:rPr>
          <w:rFonts w:hint="eastAsia" w:ascii="宋体" w:hAnsi="宋体" w:cs="宋体"/>
          <w:sz w:val="24"/>
        </w:rPr>
        <w:t>文件6  法人授权书</w:t>
      </w:r>
    </w:p>
    <w:p>
      <w:pPr>
        <w:snapToGrid w:val="0"/>
        <w:spacing w:line="360" w:lineRule="auto"/>
        <w:ind w:firstLine="480" w:firstLineChars="200"/>
        <w:rPr>
          <w:rFonts w:ascii="宋体" w:hAnsi="宋体" w:cs="宋体"/>
          <w:sz w:val="24"/>
        </w:rPr>
      </w:pPr>
      <w:r>
        <w:rPr>
          <w:rFonts w:hint="eastAsia" w:ascii="宋体" w:hAnsi="宋体" w:cs="宋体"/>
          <w:sz w:val="24"/>
        </w:rPr>
        <w:t>文件7 单一来源采购文件中规定要求提供的证明材料和投标人认为需要提供的其他材料（单一来源采购文件要求提供原件的必须单独封装并与投标文件一起递交，评标结束后原件退回；未要求提供原件的提供复印件，原件自带备查）</w:t>
      </w:r>
    </w:p>
    <w:p>
      <w:pPr>
        <w:widowControl/>
        <w:spacing w:line="360" w:lineRule="auto"/>
        <w:jc w:val="left"/>
        <w:rPr>
          <w:rFonts w:ascii="宋体" w:hAnsi="宋体"/>
          <w:b/>
          <w:bCs/>
          <w:sz w:val="24"/>
          <w:lang w:val="zh-CN"/>
        </w:rPr>
      </w:pPr>
      <w:r>
        <w:rPr>
          <w:rFonts w:ascii="宋体" w:hAnsi="宋体"/>
          <w:b/>
          <w:bCs/>
          <w:sz w:val="24"/>
          <w:lang w:val="zh-CN"/>
        </w:rPr>
        <w:br w:type="page"/>
      </w:r>
    </w:p>
    <w:p>
      <w:pPr>
        <w:keepNext/>
        <w:keepLines/>
        <w:spacing w:before="260" w:after="260" w:line="416" w:lineRule="auto"/>
        <w:jc w:val="center"/>
        <w:outlineLvl w:val="2"/>
        <w:rPr>
          <w:rFonts w:ascii="黑体" w:hAnsi="宋体" w:eastAsia="黑体"/>
          <w:sz w:val="30"/>
          <w:szCs w:val="30"/>
          <w:lang w:val="zh-CN"/>
        </w:rPr>
      </w:pPr>
      <w:r>
        <w:rPr>
          <w:rFonts w:hint="eastAsia" w:ascii="宋体" w:hAnsi="宋体"/>
          <w:b/>
          <w:bCs/>
          <w:sz w:val="24"/>
          <w:lang w:val="zh-CN"/>
        </w:rPr>
        <w:t>具备履行合同所必需的设备和专业技术能力的书面声明（格式）</w:t>
      </w:r>
    </w:p>
    <w:p>
      <w:pPr>
        <w:spacing w:line="460" w:lineRule="exact"/>
        <w:ind w:firstLine="492"/>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  。</w:t>
      </w:r>
    </w:p>
    <w:p>
      <w:pPr>
        <w:spacing w:line="460" w:lineRule="exact"/>
        <w:ind w:firstLine="492"/>
        <w:rPr>
          <w:rFonts w:ascii="宋体" w:hAnsi="宋体"/>
          <w:bCs/>
          <w:sz w:val="24"/>
        </w:rPr>
      </w:pPr>
      <w:r>
        <w:rPr>
          <w:rFonts w:hint="eastAsia" w:ascii="宋体" w:hAnsi="宋体"/>
          <w:bCs/>
          <w:sz w:val="24"/>
        </w:rPr>
        <w:t>主要专业技术能力有：   。</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ind w:firstLine="420"/>
        <w:rPr>
          <w:lang w:val="zh-CN"/>
        </w:rPr>
      </w:pPr>
      <w:r>
        <w:rPr>
          <w:lang w:val="zh-CN"/>
        </w:rPr>
        <w:br w:type="page"/>
      </w:r>
    </w:p>
    <w:p>
      <w:pPr>
        <w:keepNext/>
        <w:keepLines/>
        <w:spacing w:before="260" w:after="260" w:line="416" w:lineRule="auto"/>
        <w:jc w:val="center"/>
        <w:outlineLvl w:val="2"/>
        <w:rPr>
          <w:rFonts w:ascii="宋体" w:hAnsi="宋体"/>
          <w:b/>
          <w:bCs/>
          <w:sz w:val="24"/>
          <w:lang w:val="zh-CN"/>
        </w:rPr>
      </w:pPr>
      <w:r>
        <w:rPr>
          <w:rFonts w:hint="eastAsia" w:ascii="宋体" w:hAnsi="宋体"/>
          <w:b/>
          <w:bCs/>
          <w:sz w:val="24"/>
          <w:lang w:val="zh-CN"/>
        </w:rPr>
        <w:t>参加政府采购活动前 3 年内在经营活动中没有重大违法记录的书面声明（格式）</w:t>
      </w:r>
    </w:p>
    <w:p>
      <w:pPr>
        <w:spacing w:line="460" w:lineRule="exact"/>
        <w:rPr>
          <w:rFonts w:ascii="宋体" w:hAnsi="宋体"/>
          <w:b/>
          <w:bCs/>
          <w:sz w:val="44"/>
          <w:szCs w:val="44"/>
        </w:rPr>
      </w:pPr>
    </w:p>
    <w:p>
      <w:pPr>
        <w:spacing w:line="460" w:lineRule="exact"/>
        <w:rPr>
          <w:rFonts w:ascii="宋体" w:hAnsi="宋体"/>
          <w:b/>
          <w:bCs/>
          <w:sz w:val="44"/>
          <w:szCs w:val="44"/>
        </w:rPr>
      </w:pPr>
      <w:r>
        <w:rPr>
          <w:rFonts w:hint="eastAsia" w:ascii="宋体" w:hAnsi="宋体"/>
          <w:b/>
          <w:bCs/>
          <w:sz w:val="44"/>
          <w:szCs w:val="44"/>
        </w:rPr>
        <w:t xml:space="preserve">                   声  明</w:t>
      </w:r>
    </w:p>
    <w:p>
      <w:pPr>
        <w:spacing w:line="460" w:lineRule="exact"/>
        <w:rPr>
          <w:rFonts w:ascii="宋体" w:hAnsi="宋体"/>
          <w:b/>
          <w:bCs/>
          <w:sz w:val="44"/>
          <w:szCs w:val="44"/>
        </w:rPr>
      </w:pPr>
    </w:p>
    <w:p>
      <w:pPr>
        <w:spacing w:line="460" w:lineRule="exact"/>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r>
        <w:rPr>
          <w:rFonts w:hint="eastAsia" w:ascii="宋体" w:hAnsi="宋体"/>
          <w:bCs/>
          <w:sz w:val="24"/>
        </w:rPr>
        <w:t xml:space="preserve">                                      授权代表签字：</w:t>
      </w:r>
      <w:r>
        <w:rPr>
          <w:rFonts w:hint="eastAsia" w:ascii="宋体" w:hAnsi="宋体"/>
          <w:bCs/>
          <w:sz w:val="24"/>
          <w:u w:val="single"/>
        </w:rPr>
        <w:t>_______________________</w:t>
      </w: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keepNext/>
        <w:keepLines/>
        <w:spacing w:before="260" w:after="260" w:line="416" w:lineRule="auto"/>
        <w:jc w:val="center"/>
        <w:outlineLvl w:val="2"/>
        <w:rPr>
          <w:rFonts w:ascii="宋体" w:hAnsi="宋体"/>
          <w:b/>
          <w:bCs/>
          <w:sz w:val="28"/>
          <w:szCs w:val="28"/>
          <w:lang w:val="zh-CN"/>
        </w:rPr>
      </w:pPr>
    </w:p>
    <w:p>
      <w:pPr>
        <w:keepNext/>
        <w:keepLines/>
        <w:spacing w:before="260" w:after="260" w:line="416" w:lineRule="auto"/>
        <w:jc w:val="center"/>
        <w:outlineLvl w:val="2"/>
        <w:rPr>
          <w:rFonts w:ascii="宋体" w:hAnsi="宋体"/>
          <w:b/>
          <w:bCs/>
          <w:sz w:val="28"/>
          <w:szCs w:val="28"/>
          <w:lang w:val="zh-CN"/>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ind w:firstLine="2400" w:firstLineChars="800"/>
        <w:rPr>
          <w:rFonts w:ascii="黑体" w:hAnsi="Arial" w:eastAsia="黑体"/>
          <w:sz w:val="30"/>
          <w:szCs w:val="30"/>
        </w:rPr>
      </w:pPr>
      <w:r>
        <w:rPr>
          <w:rFonts w:hint="eastAsia" w:ascii="黑体" w:hAnsi="Arial" w:eastAsia="黑体"/>
          <w:sz w:val="30"/>
          <w:szCs w:val="30"/>
        </w:rPr>
        <w:t>法定代表人授权书（格 式）</w:t>
      </w:r>
    </w:p>
    <w:p>
      <w:pPr>
        <w:spacing w:line="360" w:lineRule="auto"/>
        <w:jc w:val="left"/>
        <w:rPr>
          <w:rFonts w:ascii="黑体" w:hAnsi="Arial" w:eastAsia="黑体"/>
          <w:sz w:val="30"/>
          <w:szCs w:val="30"/>
        </w:rPr>
      </w:pPr>
      <w:r>
        <w:rPr>
          <w:rFonts w:hint="eastAsia" w:ascii="宋体" w:hAnsi="Arial"/>
          <w:sz w:val="24"/>
        </w:rPr>
        <w:t>本授权书声明：公司的（法定代表人姓名）职务  代表本公司授权（被授权人的姓名） (职务)为本公司的合法投标代表，就参加号标的内容的投标、签订合同以及合同的执行、完成和纠纷处理，以本公司名义处理一切与之有关的事务。</w:t>
      </w:r>
    </w:p>
    <w:p>
      <w:pPr>
        <w:spacing w:line="360" w:lineRule="auto"/>
        <w:ind w:firstLine="720" w:firstLineChars="300"/>
        <w:rPr>
          <w:rFonts w:ascii="宋体" w:hAnsi="Arial"/>
          <w:sz w:val="24"/>
        </w:rPr>
      </w:pPr>
      <w:r>
        <w:rPr>
          <w:rFonts w:hint="eastAsia" w:ascii="宋体" w:hAnsi="Arial"/>
          <w:sz w:val="24"/>
        </w:rPr>
        <w:t>本授权书于年月日签字生效，特此声明。</w:t>
      </w:r>
    </w:p>
    <w:p>
      <w:pPr>
        <w:spacing w:line="360" w:lineRule="auto"/>
        <w:ind w:firstLine="720" w:firstLineChars="300"/>
        <w:rPr>
          <w:rFonts w:ascii="宋体" w:hAnsi="Arial"/>
          <w:sz w:val="24"/>
          <w:u w:val="single"/>
        </w:rPr>
      </w:pPr>
      <w:r>
        <w:rPr>
          <w:rFonts w:hint="eastAsia" w:ascii="宋体" w:hAnsi="Arial"/>
          <w:sz w:val="24"/>
        </w:rPr>
        <w:t>法定代表人签字：</w:t>
      </w:r>
    </w:p>
    <w:p>
      <w:pPr>
        <w:spacing w:line="360" w:lineRule="auto"/>
        <w:rPr>
          <w:rFonts w:ascii="宋体" w:hAnsi="Arial"/>
          <w:sz w:val="24"/>
          <w:u w:val="single"/>
        </w:rPr>
      </w:pPr>
      <w:r>
        <w:rPr>
          <w:rFonts w:hint="eastAsia" w:ascii="宋体" w:hAnsi="Arial"/>
          <w:sz w:val="24"/>
        </w:rPr>
        <w:t xml:space="preserve">            职    务：</w:t>
      </w:r>
    </w:p>
    <w:p>
      <w:pPr>
        <w:spacing w:line="360" w:lineRule="auto"/>
        <w:rPr>
          <w:rFonts w:ascii="宋体" w:hAnsi="Arial"/>
          <w:sz w:val="24"/>
          <w:u w:val="single"/>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投标代表（被授权人）签字</w:t>
      </w:r>
      <w:r>
        <w:rPr>
          <w:rFonts w:hint="eastAsia" w:ascii="宋体" w:hAnsi="Arial"/>
          <w:sz w:val="24"/>
          <w:u w:val="single"/>
        </w:rPr>
        <w:t xml:space="preserve">：                      </w:t>
      </w:r>
    </w:p>
    <w:p>
      <w:pPr>
        <w:spacing w:line="360" w:lineRule="auto"/>
        <w:rPr>
          <w:rFonts w:ascii="宋体" w:hAnsi="Arial"/>
          <w:sz w:val="24"/>
        </w:rPr>
      </w:pPr>
      <w:r>
        <w:rPr>
          <w:rFonts w:hint="eastAsia" w:ascii="宋体" w:hAnsi="Arial"/>
          <w:sz w:val="24"/>
        </w:rPr>
        <w:t xml:space="preserve">           职    务：</w:t>
      </w:r>
    </w:p>
    <w:p>
      <w:pPr>
        <w:spacing w:line="360" w:lineRule="auto"/>
        <w:rPr>
          <w:rFonts w:ascii="宋体" w:hAnsi="Arial"/>
          <w:sz w:val="24"/>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 xml:space="preserve">           投标人（单位公章或投标专用章）：</w:t>
      </w:r>
    </w:p>
    <w:p>
      <w:pPr>
        <w:spacing w:line="360" w:lineRule="auto"/>
        <w:outlineLvl w:val="0"/>
        <w:rPr>
          <w:rFonts w:ascii="宋体" w:hAnsi="Arial"/>
          <w:sz w:val="24"/>
          <w:u w:val="single"/>
        </w:rPr>
      </w:pPr>
      <w:r>
        <w:rPr>
          <w:rFonts w:hint="eastAsia" w:ascii="宋体" w:hAnsi="Arial"/>
          <w:sz w:val="24"/>
        </w:rPr>
        <w:t xml:space="preserve">           日    期：</w:t>
      </w:r>
    </w:p>
    <w:p>
      <w:pPr>
        <w:spacing w:line="360" w:lineRule="auto"/>
        <w:jc w:val="center"/>
        <w:rPr>
          <w:rFonts w:ascii="隶书" w:hAnsi="Arial" w:eastAsia="隶书"/>
          <w:sz w:val="24"/>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二、资格性审查响应对照表（格式）</w:t>
      </w:r>
    </w:p>
    <w:p>
      <w:pPr>
        <w:ind w:firstLine="309"/>
        <w:rPr>
          <w:rFonts w:ascii="宋体" w:hAnsi="宋体"/>
          <w:sz w:val="24"/>
        </w:rPr>
      </w:pPr>
      <w:r>
        <w:rPr>
          <w:rFonts w:hint="eastAsia" w:ascii="宋体" w:hAnsi="宋体"/>
          <w:sz w:val="24"/>
        </w:rPr>
        <w:t>响应供应商全称（加盖公章）：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资格性审查响应内容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三、符合性检查响应对照表（格式）</w:t>
      </w:r>
    </w:p>
    <w:p>
      <w:pPr>
        <w:ind w:firstLine="309"/>
        <w:rPr>
          <w:rFonts w:ascii="宋体" w:hAnsi="宋体"/>
          <w:sz w:val="24"/>
        </w:rPr>
      </w:pPr>
      <w:r>
        <w:rPr>
          <w:rFonts w:hint="eastAsia" w:ascii="宋体" w:hAnsi="宋体"/>
          <w:sz w:val="24"/>
        </w:rPr>
        <w:t>相应供应商全称（加盖公章）：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符合性检查响应内容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r>
              <w:rPr>
                <w:rFonts w:hint="eastAsia" w:ascii="宋体" w:hAnsi="宋体"/>
                <w:iCs/>
                <w:sz w:val="24"/>
              </w:rPr>
              <w:t>采购文件中的其他实质性要求</w:t>
            </w: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napToGrid w:val="0"/>
        <w:spacing w:before="50" w:after="50"/>
        <w:rPr>
          <w:rFonts w:ascii="黑体" w:eastAsia="黑体"/>
          <w:sz w:val="4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四、响应函（格式）</w:t>
      </w:r>
    </w:p>
    <w:p>
      <w:pPr>
        <w:adjustRightInd w:val="0"/>
        <w:spacing w:line="420" w:lineRule="exact"/>
        <w:jc w:val="left"/>
        <w:textAlignment w:val="baseline"/>
        <w:rPr>
          <w:rFonts w:ascii="宋体" w:hAnsi="宋体"/>
          <w:sz w:val="24"/>
        </w:rPr>
      </w:pPr>
      <w:r>
        <w:rPr>
          <w:rFonts w:hint="eastAsia" w:ascii="宋体" w:hAnsi="宋体"/>
          <w:sz w:val="24"/>
        </w:rPr>
        <w:t>致：江苏省盐城技师学院</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根据贵方的</w:t>
      </w:r>
      <w:r>
        <w:rPr>
          <w:rFonts w:hint="eastAsia" w:ascii="宋体" w:hAnsi="宋体"/>
          <w:sz w:val="24"/>
          <w:u w:val="single"/>
        </w:rPr>
        <w:t xml:space="preserve">      </w:t>
      </w:r>
      <w:r>
        <w:rPr>
          <w:rFonts w:hint="eastAsia" w:ascii="宋体" w:hAnsi="宋体"/>
          <w:sz w:val="24"/>
        </w:rPr>
        <w:t>号采购文件，经仔细阅读和研究，我方决定参加协商，正式授权下述签字人_</w:t>
      </w:r>
      <w:r>
        <w:rPr>
          <w:rFonts w:hint="eastAsia" w:ascii="宋体" w:hAnsi="宋体"/>
          <w:sz w:val="24"/>
          <w:u w:val="single"/>
        </w:rPr>
        <w:t>_</w:t>
      </w:r>
      <w:r>
        <w:rPr>
          <w:rFonts w:hint="eastAsia" w:ascii="宋体" w:hAnsi="宋体"/>
          <w:sz w:val="24"/>
        </w:rPr>
        <w:t>____________(姓名)代表我方_________</w:t>
      </w:r>
      <w:r>
        <w:rPr>
          <w:rFonts w:hint="eastAsia" w:ascii="宋体" w:hAnsi="宋体"/>
          <w:sz w:val="24"/>
          <w:u w:val="single"/>
        </w:rPr>
        <w:t xml:space="preserve">_         </w:t>
      </w:r>
      <w:r>
        <w:rPr>
          <w:rFonts w:hint="eastAsia" w:ascii="宋体" w:hAnsi="宋体"/>
          <w:sz w:val="24"/>
        </w:rPr>
        <w:t>____（响应人人的名称），全权处理本次项目协商的有关事宜。</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据此函，__________签字人兹宣布同意如下：</w:t>
      </w:r>
    </w:p>
    <w:p>
      <w:pPr>
        <w:adjustRightInd w:val="0"/>
        <w:spacing w:line="420" w:lineRule="exact"/>
        <w:ind w:firstLine="480"/>
        <w:jc w:val="left"/>
        <w:textAlignment w:val="baseline"/>
        <w:rPr>
          <w:rFonts w:ascii="宋体" w:hAnsi="宋体"/>
          <w:sz w:val="24"/>
        </w:rPr>
      </w:pPr>
      <w:r>
        <w:rPr>
          <w:rFonts w:hint="eastAsia" w:ascii="宋体" w:hAnsi="宋体"/>
          <w:sz w:val="24"/>
        </w:rPr>
        <w:t>1.按单一来源采购文件规定的各项要求，向买方提供所需服务。</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2.我方已详细审核全部单一来源采购文件及其有效补充文件，我方知道必须放弃提出含糊不清或误解问题的权利。</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3.</w:t>
      </w:r>
      <w:r>
        <w:rPr>
          <w:rFonts w:hint="eastAsia"/>
          <w:sz w:val="24"/>
        </w:rPr>
        <w:t>我方愿意提供采购人在单一来源采购文件中要求的所有资料。</w:t>
      </w:r>
    </w:p>
    <w:p>
      <w:pPr>
        <w:adjustRightInd w:val="0"/>
        <w:spacing w:line="420" w:lineRule="exact"/>
        <w:ind w:firstLine="480"/>
        <w:jc w:val="left"/>
        <w:textAlignment w:val="baseline"/>
        <w:rPr>
          <w:rFonts w:ascii="宋体" w:hAnsi="宋体"/>
          <w:sz w:val="24"/>
        </w:rPr>
      </w:pPr>
      <w:r>
        <w:rPr>
          <w:rFonts w:hint="eastAsia" w:ascii="宋体" w:hAnsi="宋体"/>
          <w:sz w:val="24"/>
        </w:rPr>
        <w:t>4.如果我方的响应文件被接受，我方将严格履行采购文件中规定的每一项要求，按期、按质、按量履行供货义务。</w:t>
      </w:r>
    </w:p>
    <w:p>
      <w:pPr>
        <w:adjustRightInd w:val="0"/>
        <w:spacing w:line="420" w:lineRule="exact"/>
        <w:ind w:firstLine="480"/>
        <w:jc w:val="left"/>
        <w:textAlignment w:val="baseline"/>
        <w:rPr>
          <w:rFonts w:ascii="宋体" w:hAnsi="宋体"/>
          <w:sz w:val="24"/>
        </w:rPr>
      </w:pPr>
      <w:r>
        <w:rPr>
          <w:rFonts w:hint="eastAsia" w:ascii="宋体" w:hAnsi="宋体"/>
          <w:sz w:val="24"/>
        </w:rPr>
        <w:t>5.如果在协商后规定的响应有效期内撤回响应或成交后拒绝签订合同，则按照国家相关法律法规受到相应处罚。</w:t>
      </w:r>
    </w:p>
    <w:p>
      <w:pPr>
        <w:adjustRightInd w:val="0"/>
        <w:spacing w:line="420" w:lineRule="exact"/>
        <w:ind w:firstLine="480"/>
        <w:jc w:val="left"/>
        <w:textAlignment w:val="baseline"/>
        <w:rPr>
          <w:rFonts w:ascii="宋体" w:hAnsi="宋体"/>
          <w:sz w:val="24"/>
        </w:rPr>
      </w:pPr>
      <w:r>
        <w:rPr>
          <w:rFonts w:hint="eastAsia" w:ascii="宋体" w:hAnsi="宋体"/>
          <w:sz w:val="24"/>
        </w:rPr>
        <w:t>6.同意向贵方提供贵方可能另外要求的与协商有关的任何证据或资料，并保证我方已提供和将要提供的文件是真实的、准确的。</w:t>
      </w:r>
    </w:p>
    <w:p>
      <w:pPr>
        <w:adjustRightInd w:val="0"/>
        <w:spacing w:line="420" w:lineRule="exact"/>
        <w:ind w:firstLine="480"/>
        <w:jc w:val="left"/>
        <w:textAlignment w:val="baseline"/>
        <w:rPr>
          <w:rFonts w:ascii="宋体" w:hAnsi="宋体"/>
          <w:sz w:val="24"/>
        </w:rPr>
      </w:pPr>
      <w:r>
        <w:rPr>
          <w:rFonts w:hint="eastAsia" w:ascii="宋体" w:hAnsi="宋体"/>
          <w:sz w:val="24"/>
        </w:rPr>
        <w:t>7.一旦我方成为成交供应商,我方将根据采购文件的规定，严格履行合同的责任和义务,并保证在采购文件规定的时间完成项目，交付买方验收、使用。</w:t>
      </w:r>
    </w:p>
    <w:p>
      <w:pPr>
        <w:adjustRightInd w:val="0"/>
        <w:spacing w:line="420" w:lineRule="exact"/>
        <w:ind w:left="425"/>
        <w:jc w:val="left"/>
        <w:textAlignment w:val="baseline"/>
        <w:rPr>
          <w:rFonts w:ascii="宋体" w:hAnsi="宋体"/>
          <w:sz w:val="24"/>
        </w:rPr>
      </w:pPr>
      <w:r>
        <w:rPr>
          <w:rFonts w:hint="eastAsia" w:ascii="宋体" w:hAnsi="宋体"/>
          <w:sz w:val="24"/>
        </w:rPr>
        <w:t>8.与本投标有关的正式通讯地址为：</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地          址：</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邮          编：</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电          话：</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传          真：</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投标人授权代表姓名（签字）：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投标人名称（公章）：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日           期：________年____月____日</w:t>
      </w:r>
    </w:p>
    <w:p>
      <w:pPr>
        <w:snapToGrid w:val="0"/>
        <w:spacing w:before="50" w:after="145" w:afterLines="50"/>
        <w:jc w:val="left"/>
        <w:rPr>
          <w:rFonts w:eastAsia="仿宋_GB2312"/>
          <w:sz w:val="24"/>
          <w:szCs w:val="20"/>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五、协商一览表（格式）</w:t>
      </w:r>
    </w:p>
    <w:p>
      <w:pPr>
        <w:snapToGrid w:val="0"/>
        <w:spacing w:before="50" w:after="50"/>
        <w:jc w:val="center"/>
        <w:rPr>
          <w:rFonts w:ascii="黑体" w:eastAsia="黑体"/>
          <w:sz w:val="32"/>
          <w:szCs w:val="32"/>
        </w:rPr>
      </w:pPr>
    </w:p>
    <w:tbl>
      <w:tblPr>
        <w:tblStyle w:val="46"/>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编 号</w:t>
            </w:r>
          </w:p>
        </w:tc>
        <w:tc>
          <w:tcPr>
            <w:tcW w:w="7445" w:type="dxa"/>
            <w:noWrap/>
            <w:vAlign w:val="center"/>
          </w:tcPr>
          <w:p>
            <w:pPr>
              <w:rPr>
                <w:rFonts w:ascii="宋体"/>
                <w:b/>
                <w:bCs/>
                <w:sz w:val="24"/>
                <w:szCs w:val="24"/>
              </w:rPr>
            </w:pPr>
            <w:r>
              <w:rPr>
                <w:rFonts w:hint="eastAsia" w:ascii="宋体"/>
                <w:b/>
                <w:bCs/>
                <w:sz w:val="24"/>
                <w:szCs w:val="24"/>
              </w:rPr>
              <w:t>YCJSD2101-001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名 称</w:t>
            </w:r>
          </w:p>
        </w:tc>
        <w:tc>
          <w:tcPr>
            <w:tcW w:w="7445" w:type="dxa"/>
            <w:noWrap/>
            <w:vAlign w:val="center"/>
          </w:tcPr>
          <w:p>
            <w:pPr>
              <w:rPr>
                <w:rFonts w:ascii="宋体"/>
                <w:b/>
                <w:bCs/>
                <w:sz w:val="24"/>
                <w:szCs w:val="24"/>
              </w:rPr>
            </w:pPr>
            <w:r>
              <w:rPr>
                <w:rFonts w:hint="eastAsia" w:ascii="宋体"/>
                <w:b/>
                <w:bCs/>
                <w:sz w:val="24"/>
                <w:szCs w:val="24"/>
              </w:rPr>
              <w:t>江苏省盐城技师学院中华人民共和国第一届职业技能大赛增材制造项目设备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ign w:val="center"/>
          </w:tcPr>
          <w:p>
            <w:pPr>
              <w:rPr>
                <w:rFonts w:ascii="宋体"/>
                <w:b/>
                <w:bCs/>
                <w:sz w:val="24"/>
                <w:szCs w:val="24"/>
              </w:rPr>
            </w:pPr>
            <w:r>
              <w:rPr>
                <w:rFonts w:hint="eastAsia" w:ascii="宋体" w:hAnsi="宋体"/>
                <w:b/>
                <w:bCs/>
                <w:sz w:val="24"/>
                <w:szCs w:val="24"/>
              </w:rPr>
              <w:t>投标报价：（大写）</w:t>
            </w:r>
            <w:r>
              <w:rPr>
                <w:rFonts w:hint="eastAsia" w:ascii="宋体" w:hAnsi="宋体"/>
                <w:b/>
                <w:bCs/>
                <w:sz w:val="24"/>
                <w:szCs w:val="24"/>
                <w:u w:val="single"/>
              </w:rPr>
              <w:t xml:space="preserve">                     </w:t>
            </w:r>
            <w:r>
              <w:rPr>
                <w:rFonts w:hint="eastAsia" w:ascii="宋体" w:hAnsi="宋体"/>
                <w:b/>
                <w:bCs/>
                <w:sz w:val="24"/>
                <w:szCs w:val="24"/>
              </w:rPr>
              <w:t>元，小写</w:t>
            </w:r>
            <w:r>
              <w:rPr>
                <w:rFonts w:hint="eastAsia" w:ascii="宋体" w:hAnsi="宋体"/>
                <w:b/>
                <w:bCs/>
                <w:sz w:val="24"/>
                <w:szCs w:val="24"/>
                <w:u w:val="single"/>
              </w:rPr>
              <w:t xml:space="preserve">：      </w:t>
            </w:r>
            <w:r>
              <w:rPr>
                <w:rFonts w:hint="eastAsia" w:ascii="宋体" w:hAnsi="宋体"/>
                <w:b/>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ign w:val="center"/>
          </w:tcPr>
          <w:p>
            <w:pPr>
              <w:rPr>
                <w:rFonts w:ascii="宋体"/>
                <w:b/>
                <w:bCs/>
                <w:sz w:val="24"/>
                <w:szCs w:val="24"/>
              </w:rPr>
            </w:pPr>
            <w:r>
              <w:rPr>
                <w:rFonts w:hint="eastAsia" w:ascii="宋体"/>
                <w:b/>
                <w:bCs/>
                <w:sz w:val="24"/>
                <w:szCs w:val="24"/>
              </w:rPr>
              <w:t xml:space="preserve">供货期： </w:t>
            </w:r>
          </w:p>
        </w:tc>
      </w:tr>
    </w:tbl>
    <w:p>
      <w:pPr>
        <w:spacing w:line="180" w:lineRule="atLeast"/>
        <w:rPr>
          <w:rFonts w:ascii="宋体" w:hAnsi="宋体"/>
          <w:sz w:val="24"/>
          <w:szCs w:val="24"/>
        </w:rPr>
      </w:pPr>
      <w:r>
        <w:rPr>
          <w:rFonts w:hint="eastAsia" w:ascii="宋体" w:hAnsi="宋体"/>
          <w:sz w:val="24"/>
          <w:szCs w:val="24"/>
        </w:rPr>
        <w:t>填写说明：</w:t>
      </w:r>
    </w:p>
    <w:p>
      <w:pPr>
        <w:numPr>
          <w:ilvl w:val="0"/>
          <w:numId w:val="3"/>
        </w:numPr>
        <w:rPr>
          <w:rFonts w:ascii="宋体" w:hAnsi="宋体"/>
          <w:sz w:val="24"/>
          <w:szCs w:val="24"/>
        </w:rPr>
      </w:pPr>
      <w:r>
        <w:rPr>
          <w:rFonts w:hint="eastAsia" w:ascii="宋体" w:hAnsi="宋体"/>
          <w:sz w:val="24"/>
          <w:szCs w:val="24"/>
        </w:rPr>
        <w:t>协商一览表不得填报选择性报价，否则将作为无效投标；</w:t>
      </w:r>
    </w:p>
    <w:p>
      <w:pPr>
        <w:numPr>
          <w:ilvl w:val="0"/>
          <w:numId w:val="3"/>
        </w:numPr>
        <w:rPr>
          <w:rFonts w:ascii="宋体" w:hAnsi="宋体"/>
          <w:sz w:val="24"/>
          <w:szCs w:val="24"/>
        </w:rPr>
      </w:pPr>
      <w:r>
        <w:rPr>
          <w:rFonts w:hint="eastAsia" w:ascii="宋体" w:hAnsi="宋体"/>
          <w:sz w:val="24"/>
          <w:szCs w:val="24"/>
        </w:rPr>
        <w:t>协商一览表中报价与响应分项明细报价表中不符时时，以协商一览表为准；</w:t>
      </w:r>
    </w:p>
    <w:p>
      <w:pPr>
        <w:ind w:firstLine="2640" w:firstLineChars="600"/>
        <w:rPr>
          <w:rFonts w:ascii="黑体" w:hAnsi="Arial" w:eastAsia="黑体"/>
          <w:sz w:val="44"/>
        </w:rPr>
      </w:pPr>
    </w:p>
    <w:p>
      <w:pPr>
        <w:ind w:firstLine="480"/>
        <w:rPr>
          <w:rFonts w:ascii="宋体" w:hAnsi="宋体"/>
          <w:sz w:val="24"/>
        </w:rPr>
      </w:pPr>
    </w:p>
    <w:p>
      <w:pPr>
        <w:ind w:firstLine="480"/>
        <w:rPr>
          <w:rFonts w:ascii="宋体" w:hAnsi="宋体"/>
          <w:sz w:val="24"/>
        </w:rPr>
      </w:pPr>
    </w:p>
    <w:p>
      <w:pPr>
        <w:ind w:firstLine="480"/>
        <w:jc w:val="right"/>
        <w:rPr>
          <w:rFonts w:ascii="宋体" w:hAnsi="宋体"/>
          <w:sz w:val="24"/>
        </w:rPr>
      </w:pPr>
      <w:r>
        <w:rPr>
          <w:rFonts w:hint="eastAsia" w:ascii="宋体" w:hAnsi="宋体"/>
          <w:bCs/>
          <w:sz w:val="24"/>
        </w:rPr>
        <w:t>供应商名称（公章）：</w:t>
      </w:r>
    </w:p>
    <w:p>
      <w:pPr>
        <w:ind w:firstLine="480"/>
        <w:rPr>
          <w:rFonts w:ascii="宋体" w:hAnsi="宋体"/>
          <w:sz w:val="24"/>
        </w:rPr>
      </w:pPr>
      <w:r>
        <w:rPr>
          <w:rFonts w:hint="eastAsia" w:ascii="宋体" w:hAnsi="宋体"/>
          <w:sz w:val="24"/>
        </w:rPr>
        <w:t xml:space="preserve">                                              日期：  年月日</w:t>
      </w:r>
    </w:p>
    <w:p>
      <w:pPr>
        <w:jc w:val="center"/>
        <w:rPr>
          <w:rFonts w:ascii="宋体" w:hAnsi="宋体"/>
          <w:b/>
          <w:sz w:val="32"/>
          <w:szCs w:val="32"/>
        </w:rPr>
      </w:pPr>
    </w:p>
    <w:p>
      <w:pPr>
        <w:widowControl/>
        <w:jc w:val="left"/>
        <w:rPr>
          <w:rFonts w:ascii="宋体" w:hAnsi="宋体"/>
          <w:b/>
          <w:bCs/>
          <w:kern w:val="44"/>
          <w:sz w:val="44"/>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hAnsi="Times New Roman" w:eastAsia="黑体" w:cs="Times New Roman"/>
          <w:color w:val="auto"/>
          <w:kern w:val="2"/>
          <w:sz w:val="32"/>
          <w:szCs w:val="32"/>
        </w:rPr>
      </w:pPr>
      <w:r>
        <w:rPr>
          <w:rFonts w:hint="eastAsia" w:ascii="黑体" w:eastAsia="黑体"/>
          <w:color w:val="auto"/>
          <w:sz w:val="32"/>
          <w:szCs w:val="32"/>
        </w:rPr>
        <w:t>六、技术方案、服务承诺、培训承诺等</w:t>
      </w:r>
    </w:p>
    <w:p>
      <w:pPr>
        <w:tabs>
          <w:tab w:val="left" w:pos="6108"/>
        </w:tabs>
      </w:pPr>
    </w:p>
    <w:p>
      <w:pPr>
        <w:widowControl/>
        <w:jc w:val="left"/>
        <w:rPr>
          <w:rFonts w:ascii="黑体" w:eastAsia="黑体"/>
          <w:sz w:val="32"/>
          <w:szCs w:val="32"/>
        </w:rPr>
      </w:pPr>
      <w:r>
        <w:rPr>
          <w:rFonts w:ascii="黑体" w:eastAsia="黑体"/>
          <w:sz w:val="32"/>
          <w:szCs w:val="32"/>
        </w:rPr>
        <w:br w:type="page"/>
      </w:r>
    </w:p>
    <w:p>
      <w:pPr>
        <w:jc w:val="center"/>
        <w:rPr>
          <w:rFonts w:ascii="黑体" w:eastAsia="黑体"/>
          <w:sz w:val="32"/>
          <w:szCs w:val="32"/>
        </w:rPr>
      </w:pPr>
      <w:r>
        <w:rPr>
          <w:rFonts w:hint="eastAsia" w:ascii="黑体" w:eastAsia="黑体"/>
          <w:sz w:val="32"/>
          <w:szCs w:val="32"/>
        </w:rPr>
        <w:t>七、盐城市政府采购事前信用承诺书</w:t>
      </w:r>
    </w:p>
    <w:p>
      <w:pPr>
        <w:widowControl/>
        <w:spacing w:line="500" w:lineRule="exact"/>
        <w:ind w:firstLine="480" w:firstLineChars="200"/>
        <w:jc w:val="left"/>
        <w:rPr>
          <w:rFonts w:ascii="宋体" w:hAnsi="宋体"/>
          <w:sz w:val="24"/>
        </w:rPr>
      </w:pPr>
      <w:r>
        <w:rPr>
          <w:rFonts w:hint="eastAsia" w:ascii="宋体" w:hAnsi="宋体"/>
          <w:sz w:val="24"/>
        </w:rPr>
        <w:t>为营造我市公开、公平、公正、诚实守信的政府采购交易环境，树立诚信守法的投标人形象，本人代表本单位作出以下承诺：</w:t>
      </w:r>
    </w:p>
    <w:p>
      <w:pPr>
        <w:widowControl/>
        <w:spacing w:line="500" w:lineRule="exact"/>
        <w:jc w:val="left"/>
        <w:rPr>
          <w:rFonts w:ascii="宋体" w:hAnsi="宋体"/>
          <w:sz w:val="24"/>
        </w:rPr>
      </w:pPr>
      <w:r>
        <w:rPr>
          <w:rFonts w:hint="eastAsia" w:ascii="宋体" w:hAnsi="宋体"/>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80" w:firstLineChars="200"/>
        <w:jc w:val="left"/>
        <w:rPr>
          <w:rFonts w:ascii="宋体" w:hAnsi="宋体"/>
          <w:sz w:val="24"/>
        </w:rPr>
      </w:pPr>
      <w:r>
        <w:rPr>
          <w:rFonts w:hint="eastAsia" w:ascii="宋体" w:hAnsi="宋体"/>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sz w:val="24"/>
        </w:rPr>
      </w:pPr>
      <w:r>
        <w:rPr>
          <w:rFonts w:hint="eastAsia" w:ascii="宋体" w:hAnsi="宋体"/>
          <w:sz w:val="24"/>
        </w:rPr>
        <w:t xml:space="preserve">   （三）严格依照国家和省、市关于政府采购的法律、法规、规章、规范性文件，参加政府采购投标活动；积极履行社会责任，促进廉政建设； </w:t>
      </w:r>
    </w:p>
    <w:p>
      <w:pPr>
        <w:widowControl/>
        <w:spacing w:line="500" w:lineRule="exact"/>
        <w:jc w:val="left"/>
        <w:rPr>
          <w:rFonts w:ascii="宋体" w:hAnsi="宋体"/>
          <w:sz w:val="24"/>
        </w:rPr>
      </w:pPr>
      <w:r>
        <w:rPr>
          <w:rFonts w:hint="eastAsia" w:ascii="宋体" w:hAnsi="宋体"/>
          <w:sz w:val="24"/>
        </w:rPr>
        <w:t>   （四）严格遵守即时信息公示规定，及时维护和更新维护和更新盐城市政府采购网中与本单位相关的信息；</w:t>
      </w:r>
    </w:p>
    <w:p>
      <w:pPr>
        <w:widowControl/>
        <w:spacing w:line="500" w:lineRule="exact"/>
        <w:jc w:val="left"/>
        <w:rPr>
          <w:rFonts w:ascii="宋体" w:hAnsi="宋体"/>
          <w:sz w:val="24"/>
        </w:rPr>
      </w:pPr>
      <w:r>
        <w:rPr>
          <w:rFonts w:hint="eastAsia" w:ascii="宋体" w:hAnsi="宋体"/>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00" w:lineRule="exact"/>
        <w:jc w:val="left"/>
        <w:rPr>
          <w:rFonts w:ascii="宋体" w:hAnsi="宋体"/>
          <w:sz w:val="24"/>
        </w:rPr>
      </w:pPr>
      <w:r>
        <w:rPr>
          <w:rFonts w:hint="eastAsia" w:ascii="宋体" w:hAnsi="宋体"/>
          <w:sz w:val="24"/>
        </w:rPr>
        <w:t>   （六）自觉接受政府、行业组织、社会公众、新闻舆论的监督；</w:t>
      </w:r>
    </w:p>
    <w:p>
      <w:pPr>
        <w:widowControl/>
        <w:spacing w:line="500" w:lineRule="exact"/>
        <w:ind w:firstLine="480" w:firstLineChars="200"/>
        <w:jc w:val="left"/>
        <w:rPr>
          <w:rFonts w:ascii="宋体" w:hAnsi="宋体"/>
          <w:sz w:val="24"/>
        </w:rPr>
      </w:pPr>
      <w:r>
        <w:rPr>
          <w:rFonts w:hint="eastAsia" w:ascii="宋体" w:hAnsi="宋体"/>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00" w:lineRule="exact"/>
        <w:jc w:val="left"/>
        <w:rPr>
          <w:rFonts w:ascii="宋体" w:hAnsi="宋体"/>
          <w:sz w:val="24"/>
        </w:rPr>
      </w:pPr>
      <w:r>
        <w:rPr>
          <w:rFonts w:hint="eastAsia" w:ascii="宋体" w:hAnsi="宋体"/>
          <w:sz w:val="24"/>
        </w:rPr>
        <w:t>   （八）本人已认真阅读了上述承诺，并向本单位员工作了宣传教育。</w:t>
      </w:r>
    </w:p>
    <w:p>
      <w:pPr>
        <w:widowControl/>
        <w:spacing w:line="500" w:lineRule="exact"/>
        <w:jc w:val="left"/>
        <w:rPr>
          <w:rFonts w:ascii="宋体" w:hAnsi="宋体"/>
          <w:sz w:val="24"/>
        </w:rPr>
      </w:pPr>
    </w:p>
    <w:p>
      <w:pPr>
        <w:widowControl/>
        <w:spacing w:line="500" w:lineRule="exact"/>
        <w:jc w:val="center"/>
        <w:rPr>
          <w:rFonts w:ascii="宋体" w:hAnsi="宋体"/>
          <w:sz w:val="24"/>
        </w:rPr>
      </w:pPr>
      <w:r>
        <w:rPr>
          <w:rFonts w:hint="eastAsia" w:ascii="宋体" w:hAnsi="宋体"/>
          <w:sz w:val="24"/>
        </w:rPr>
        <w:t xml:space="preserve">                 法定代表人签名：</w:t>
      </w:r>
    </w:p>
    <w:p>
      <w:pPr>
        <w:widowControl/>
        <w:spacing w:line="500" w:lineRule="exact"/>
        <w:jc w:val="center"/>
        <w:rPr>
          <w:rFonts w:ascii="宋体" w:hAnsi="宋体"/>
          <w:sz w:val="24"/>
        </w:rPr>
      </w:pPr>
      <w:r>
        <w:rPr>
          <w:rFonts w:hint="eastAsia" w:ascii="宋体" w:hAnsi="宋体"/>
          <w:sz w:val="24"/>
        </w:rPr>
        <w:t xml:space="preserve">                   单位名称（盖章）：</w:t>
      </w:r>
    </w:p>
    <w:p>
      <w:pPr>
        <w:widowControl/>
        <w:spacing w:line="500" w:lineRule="exact"/>
        <w:jc w:val="center"/>
        <w:rPr>
          <w:rFonts w:ascii="宋体" w:hAnsi="宋体"/>
          <w:sz w:val="24"/>
        </w:rPr>
      </w:pPr>
      <w:r>
        <w:rPr>
          <w:rFonts w:hint="eastAsia" w:ascii="宋体" w:hAnsi="宋体"/>
          <w:sz w:val="24"/>
        </w:rPr>
        <w:t xml:space="preserve">                      年    月    日</w:t>
      </w:r>
    </w:p>
    <w:p>
      <w:pPr>
        <w:snapToGrid w:val="0"/>
        <w:spacing w:line="360" w:lineRule="auto"/>
        <w:rPr>
          <w:b/>
          <w:sz w:val="24"/>
        </w:rPr>
      </w:pPr>
    </w:p>
    <w:sectPr>
      <w:headerReference r:id="rId4" w:type="first"/>
      <w:headerReference r:id="rId3" w:type="default"/>
      <w:footerReference r:id="rId5" w:type="default"/>
      <w:footerReference r:id="rId6" w:type="even"/>
      <w:pgSz w:w="11906" w:h="16838"/>
      <w:pgMar w:top="1418" w:right="1588" w:bottom="1418" w:left="1365"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方正兰亭超细黑简体"/>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宋体"/>
    <w:panose1 w:val="0201050906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ascii="宋体" w:hAnsi="宋体"/>
      </w:rPr>
    </w:pPr>
    <w:r>
      <w:rPr>
        <w:rFonts w:ascii="宋体" w:hAnsi="宋体"/>
      </w:rPr>
      <w:fldChar w:fldCharType="begin"/>
    </w:r>
    <w:r>
      <w:rPr>
        <w:rStyle w:val="50"/>
        <w:rFonts w:ascii="宋体" w:hAnsi="宋体"/>
      </w:rPr>
      <w:instrText xml:space="preserve">PAGE  </w:instrText>
    </w:r>
    <w:r>
      <w:rPr>
        <w:rFonts w:ascii="宋体" w:hAnsi="宋体"/>
      </w:rPr>
      <w:fldChar w:fldCharType="separate"/>
    </w:r>
    <w:r>
      <w:rPr>
        <w:rStyle w:val="50"/>
        <w:rFonts w:ascii="宋体" w:hAnsi="宋体"/>
      </w:rPr>
      <w:t>１１</w:t>
    </w:r>
    <w:r>
      <w:rPr>
        <w:rFonts w:ascii="宋体" w:hAnsi="宋体"/>
      </w:rPr>
      <w:fldChar w:fldCharType="end"/>
    </w:r>
  </w:p>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w:t>
    </w:r>
    <w:r>
      <w:rPr>
        <w:rFonts w:hint="eastAsia" w:ascii="宋体" w:hAnsi="宋体" w:cs="宋体"/>
        <w:b/>
        <w:bCs/>
        <w:sz w:val="21"/>
        <w:szCs w:val="21"/>
      </w:rPr>
      <w:t>YCJSD2101-001</w:t>
    </w:r>
    <w:r>
      <w:rPr>
        <w:rFonts w:hint="eastAsia"/>
        <w:b/>
        <w:bCs/>
        <w:sz w:val="21"/>
        <w:szCs w:val="21"/>
      </w:rPr>
      <w:t>）</w:t>
    </w:r>
    <w:r>
      <w:rPr>
        <w:rFonts w:eastAsia="隶书"/>
        <w:color w:val="000000"/>
        <w:spacing w:val="40"/>
        <w:sz w:val="21"/>
        <w:szCs w:val="21"/>
      </w:rPr>
      <w:t>单一来源采购文件</w:t>
    </w:r>
  </w:p>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w:t>
    </w:r>
    <w:r>
      <w:rPr>
        <w:rFonts w:hint="eastAsia" w:ascii="宋体" w:hAnsi="宋体" w:cs="宋体"/>
        <w:b/>
        <w:bCs/>
        <w:sz w:val="21"/>
        <w:szCs w:val="21"/>
      </w:rPr>
      <w:t>YCJSD2101-001</w:t>
    </w:r>
    <w:r>
      <w:rPr>
        <w:rFonts w:hint="eastAsia"/>
        <w:b/>
        <w:bCs/>
        <w:sz w:val="21"/>
        <w:szCs w:val="21"/>
      </w:rPr>
      <w:t>）</w:t>
    </w:r>
    <w:r>
      <w:rPr>
        <w:rFonts w:eastAsia="隶书"/>
        <w:color w:val="000000"/>
        <w:spacing w:val="40"/>
        <w:sz w:val="21"/>
        <w:szCs w:val="21"/>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B2323"/>
    <w:multiLevelType w:val="singleLevel"/>
    <w:tmpl w:val="D24B2323"/>
    <w:lvl w:ilvl="0" w:tentative="0">
      <w:start w:val="6"/>
      <w:numFmt w:val="chineseCounting"/>
      <w:suff w:val="nothing"/>
      <w:lvlText w:val="%1、"/>
      <w:lvlJc w:val="left"/>
      <w:rPr>
        <w:rFonts w:hint="eastAsia"/>
      </w:rPr>
    </w:lvl>
  </w:abstractNum>
  <w:abstractNum w:abstractNumId="1">
    <w:nsid w:val="FF423A20"/>
    <w:multiLevelType w:val="singleLevel"/>
    <w:tmpl w:val="FF423A20"/>
    <w:lvl w:ilvl="0" w:tentative="0">
      <w:start w:val="2"/>
      <w:numFmt w:val="chineseCounting"/>
      <w:suff w:val="nothing"/>
      <w:lvlText w:val="（%1）"/>
      <w:lvlJc w:val="left"/>
      <w:rPr>
        <w:rFonts w:hint="eastAsia"/>
      </w:rPr>
    </w:lvl>
  </w:abstractNum>
  <w:abstractNum w:abstractNumId="2">
    <w:nsid w:val="23CA3DFE"/>
    <w:multiLevelType w:val="singleLevel"/>
    <w:tmpl w:val="23CA3DFE"/>
    <w:lvl w:ilvl="0" w:tentative="0">
      <w:start w:val="1"/>
      <w:numFmt w:val="decimal"/>
      <w:lvlText w:val="%1、"/>
      <w:lvlJc w:val="left"/>
      <w:pPr>
        <w:tabs>
          <w:tab w:val="left" w:pos="480"/>
        </w:tabs>
        <w:ind w:left="4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mirrorMargins w:val="1"/>
  <w:bordersDoNotSurroundHeader w:val="1"/>
  <w:bordersDoNotSurroundFooter w:val="1"/>
  <w:documentProtection w:enforcement="0"/>
  <w:defaultTabStop w:val="425"/>
  <w:drawingGridHorizontalSpacing w:val="105"/>
  <w:drawingGridVerticalSpacing w:val="14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72A27"/>
    <w:rsid w:val="00000114"/>
    <w:rsid w:val="00001745"/>
    <w:rsid w:val="000021F1"/>
    <w:rsid w:val="000031C1"/>
    <w:rsid w:val="00003DC7"/>
    <w:rsid w:val="00004180"/>
    <w:rsid w:val="00005139"/>
    <w:rsid w:val="000060B8"/>
    <w:rsid w:val="000060F7"/>
    <w:rsid w:val="000065F6"/>
    <w:rsid w:val="00006B61"/>
    <w:rsid w:val="00006BCB"/>
    <w:rsid w:val="00007E5F"/>
    <w:rsid w:val="00012B1C"/>
    <w:rsid w:val="00014F7E"/>
    <w:rsid w:val="0001609A"/>
    <w:rsid w:val="00016776"/>
    <w:rsid w:val="00017ECF"/>
    <w:rsid w:val="00020C65"/>
    <w:rsid w:val="00021067"/>
    <w:rsid w:val="00021BC0"/>
    <w:rsid w:val="000238F8"/>
    <w:rsid w:val="00023FC6"/>
    <w:rsid w:val="000242A5"/>
    <w:rsid w:val="00024E29"/>
    <w:rsid w:val="00025F21"/>
    <w:rsid w:val="00026BBB"/>
    <w:rsid w:val="000270C3"/>
    <w:rsid w:val="000276E8"/>
    <w:rsid w:val="00027F43"/>
    <w:rsid w:val="00030198"/>
    <w:rsid w:val="00031E43"/>
    <w:rsid w:val="000333D7"/>
    <w:rsid w:val="0003342B"/>
    <w:rsid w:val="000334A8"/>
    <w:rsid w:val="00033D8D"/>
    <w:rsid w:val="00034AA1"/>
    <w:rsid w:val="00036863"/>
    <w:rsid w:val="00043C2F"/>
    <w:rsid w:val="000440A4"/>
    <w:rsid w:val="000451E8"/>
    <w:rsid w:val="00045D22"/>
    <w:rsid w:val="00046483"/>
    <w:rsid w:val="00046B9E"/>
    <w:rsid w:val="0005153E"/>
    <w:rsid w:val="000544A7"/>
    <w:rsid w:val="0005513D"/>
    <w:rsid w:val="000552F0"/>
    <w:rsid w:val="00055BC4"/>
    <w:rsid w:val="00056AE9"/>
    <w:rsid w:val="00057ADA"/>
    <w:rsid w:val="00057CBA"/>
    <w:rsid w:val="00057CE2"/>
    <w:rsid w:val="000605BB"/>
    <w:rsid w:val="0006121F"/>
    <w:rsid w:val="00062851"/>
    <w:rsid w:val="00062C51"/>
    <w:rsid w:val="000644E0"/>
    <w:rsid w:val="0006579C"/>
    <w:rsid w:val="0006657E"/>
    <w:rsid w:val="00066E0B"/>
    <w:rsid w:val="00071631"/>
    <w:rsid w:val="00072A72"/>
    <w:rsid w:val="00072D39"/>
    <w:rsid w:val="00073884"/>
    <w:rsid w:val="00073CD4"/>
    <w:rsid w:val="000742E4"/>
    <w:rsid w:val="00076A17"/>
    <w:rsid w:val="000824BA"/>
    <w:rsid w:val="00082C5C"/>
    <w:rsid w:val="00082F11"/>
    <w:rsid w:val="0008366C"/>
    <w:rsid w:val="000837A2"/>
    <w:rsid w:val="00084B83"/>
    <w:rsid w:val="00085AAC"/>
    <w:rsid w:val="00086309"/>
    <w:rsid w:val="00090BB5"/>
    <w:rsid w:val="0009159A"/>
    <w:rsid w:val="000939A7"/>
    <w:rsid w:val="00094CD5"/>
    <w:rsid w:val="0009519F"/>
    <w:rsid w:val="000956B3"/>
    <w:rsid w:val="00096A17"/>
    <w:rsid w:val="00096BDF"/>
    <w:rsid w:val="0009760F"/>
    <w:rsid w:val="000A2FC6"/>
    <w:rsid w:val="000A41F7"/>
    <w:rsid w:val="000A47B4"/>
    <w:rsid w:val="000A49E3"/>
    <w:rsid w:val="000A535D"/>
    <w:rsid w:val="000A5684"/>
    <w:rsid w:val="000B02C3"/>
    <w:rsid w:val="000B1517"/>
    <w:rsid w:val="000B2F1D"/>
    <w:rsid w:val="000B5605"/>
    <w:rsid w:val="000B7669"/>
    <w:rsid w:val="000C0376"/>
    <w:rsid w:val="000C0CA5"/>
    <w:rsid w:val="000C1440"/>
    <w:rsid w:val="000C3447"/>
    <w:rsid w:val="000C3B7F"/>
    <w:rsid w:val="000C4A8C"/>
    <w:rsid w:val="000C562D"/>
    <w:rsid w:val="000C6DBE"/>
    <w:rsid w:val="000C7D2E"/>
    <w:rsid w:val="000D004D"/>
    <w:rsid w:val="000D12F6"/>
    <w:rsid w:val="000D24A9"/>
    <w:rsid w:val="000D2A4E"/>
    <w:rsid w:val="000D5483"/>
    <w:rsid w:val="000D5CD6"/>
    <w:rsid w:val="000D640F"/>
    <w:rsid w:val="000E0296"/>
    <w:rsid w:val="000E1348"/>
    <w:rsid w:val="000E2594"/>
    <w:rsid w:val="000E35A2"/>
    <w:rsid w:val="000E4679"/>
    <w:rsid w:val="000E5EA3"/>
    <w:rsid w:val="000E6362"/>
    <w:rsid w:val="000E6A08"/>
    <w:rsid w:val="000F17DF"/>
    <w:rsid w:val="000F1C96"/>
    <w:rsid w:val="000F299B"/>
    <w:rsid w:val="000F2FA5"/>
    <w:rsid w:val="000F3196"/>
    <w:rsid w:val="000F3822"/>
    <w:rsid w:val="000F3C65"/>
    <w:rsid w:val="000F5749"/>
    <w:rsid w:val="000F7AE6"/>
    <w:rsid w:val="00101213"/>
    <w:rsid w:val="0010432D"/>
    <w:rsid w:val="001043C2"/>
    <w:rsid w:val="00105C21"/>
    <w:rsid w:val="001062AB"/>
    <w:rsid w:val="00106600"/>
    <w:rsid w:val="00106A54"/>
    <w:rsid w:val="00110803"/>
    <w:rsid w:val="001111A5"/>
    <w:rsid w:val="00113C44"/>
    <w:rsid w:val="00115161"/>
    <w:rsid w:val="001152EA"/>
    <w:rsid w:val="00115439"/>
    <w:rsid w:val="00116CC8"/>
    <w:rsid w:val="00120640"/>
    <w:rsid w:val="001209A8"/>
    <w:rsid w:val="00120B27"/>
    <w:rsid w:val="001216F8"/>
    <w:rsid w:val="0012335D"/>
    <w:rsid w:val="00126079"/>
    <w:rsid w:val="00127CC7"/>
    <w:rsid w:val="00130A9A"/>
    <w:rsid w:val="001319A2"/>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B72"/>
    <w:rsid w:val="001501E4"/>
    <w:rsid w:val="001503E1"/>
    <w:rsid w:val="00151BCA"/>
    <w:rsid w:val="0015339B"/>
    <w:rsid w:val="0015366A"/>
    <w:rsid w:val="001539B3"/>
    <w:rsid w:val="001542EE"/>
    <w:rsid w:val="00154675"/>
    <w:rsid w:val="00155193"/>
    <w:rsid w:val="001553EC"/>
    <w:rsid w:val="00155CB8"/>
    <w:rsid w:val="001569DC"/>
    <w:rsid w:val="00157965"/>
    <w:rsid w:val="00161885"/>
    <w:rsid w:val="00162263"/>
    <w:rsid w:val="001626A8"/>
    <w:rsid w:val="00163DB6"/>
    <w:rsid w:val="00163ED5"/>
    <w:rsid w:val="00164ABA"/>
    <w:rsid w:val="0016506B"/>
    <w:rsid w:val="001679CE"/>
    <w:rsid w:val="00167B47"/>
    <w:rsid w:val="001705EF"/>
    <w:rsid w:val="0017062E"/>
    <w:rsid w:val="00170855"/>
    <w:rsid w:val="0017137E"/>
    <w:rsid w:val="00172A27"/>
    <w:rsid w:val="00173EEF"/>
    <w:rsid w:val="00174967"/>
    <w:rsid w:val="001752DD"/>
    <w:rsid w:val="00176DDF"/>
    <w:rsid w:val="00180009"/>
    <w:rsid w:val="0018080C"/>
    <w:rsid w:val="00180CEE"/>
    <w:rsid w:val="00181408"/>
    <w:rsid w:val="00181970"/>
    <w:rsid w:val="0018364B"/>
    <w:rsid w:val="00185B7D"/>
    <w:rsid w:val="001860E5"/>
    <w:rsid w:val="0018667B"/>
    <w:rsid w:val="0018691B"/>
    <w:rsid w:val="001909F8"/>
    <w:rsid w:val="001916EA"/>
    <w:rsid w:val="0019175E"/>
    <w:rsid w:val="00192491"/>
    <w:rsid w:val="0019270C"/>
    <w:rsid w:val="001943E8"/>
    <w:rsid w:val="00197156"/>
    <w:rsid w:val="001972B4"/>
    <w:rsid w:val="00197325"/>
    <w:rsid w:val="00197B96"/>
    <w:rsid w:val="001A0F57"/>
    <w:rsid w:val="001A121B"/>
    <w:rsid w:val="001A16F7"/>
    <w:rsid w:val="001A2217"/>
    <w:rsid w:val="001A2797"/>
    <w:rsid w:val="001A5BDF"/>
    <w:rsid w:val="001A6895"/>
    <w:rsid w:val="001B2DEF"/>
    <w:rsid w:val="001B2F18"/>
    <w:rsid w:val="001B5050"/>
    <w:rsid w:val="001B70EA"/>
    <w:rsid w:val="001B7E61"/>
    <w:rsid w:val="001C14B1"/>
    <w:rsid w:val="001C364F"/>
    <w:rsid w:val="001C373D"/>
    <w:rsid w:val="001C5C56"/>
    <w:rsid w:val="001C5F27"/>
    <w:rsid w:val="001D01DB"/>
    <w:rsid w:val="001D1657"/>
    <w:rsid w:val="001D345D"/>
    <w:rsid w:val="001D4A32"/>
    <w:rsid w:val="001D6773"/>
    <w:rsid w:val="001D6B89"/>
    <w:rsid w:val="001D6E74"/>
    <w:rsid w:val="001D702A"/>
    <w:rsid w:val="001E13DE"/>
    <w:rsid w:val="001E1981"/>
    <w:rsid w:val="001E2637"/>
    <w:rsid w:val="001E30DD"/>
    <w:rsid w:val="001E61A6"/>
    <w:rsid w:val="001E6EAD"/>
    <w:rsid w:val="001E798E"/>
    <w:rsid w:val="001E7A14"/>
    <w:rsid w:val="001F110F"/>
    <w:rsid w:val="001F15A6"/>
    <w:rsid w:val="001F1A18"/>
    <w:rsid w:val="001F1B38"/>
    <w:rsid w:val="001F2972"/>
    <w:rsid w:val="001F3E1F"/>
    <w:rsid w:val="001F5A48"/>
    <w:rsid w:val="002015B0"/>
    <w:rsid w:val="00201902"/>
    <w:rsid w:val="00201E97"/>
    <w:rsid w:val="00203A07"/>
    <w:rsid w:val="00205D38"/>
    <w:rsid w:val="00210ECA"/>
    <w:rsid w:val="00211A2F"/>
    <w:rsid w:val="00211A92"/>
    <w:rsid w:val="00212CAC"/>
    <w:rsid w:val="00212EAB"/>
    <w:rsid w:val="00213857"/>
    <w:rsid w:val="00213E9A"/>
    <w:rsid w:val="002142E2"/>
    <w:rsid w:val="00215C57"/>
    <w:rsid w:val="00216AB7"/>
    <w:rsid w:val="002173E8"/>
    <w:rsid w:val="00217582"/>
    <w:rsid w:val="002178D7"/>
    <w:rsid w:val="00217A24"/>
    <w:rsid w:val="00221441"/>
    <w:rsid w:val="00223B19"/>
    <w:rsid w:val="002248B3"/>
    <w:rsid w:val="00225AFD"/>
    <w:rsid w:val="00230D01"/>
    <w:rsid w:val="00231963"/>
    <w:rsid w:val="00232B68"/>
    <w:rsid w:val="00233012"/>
    <w:rsid w:val="002330E9"/>
    <w:rsid w:val="002334E4"/>
    <w:rsid w:val="00234032"/>
    <w:rsid w:val="00234745"/>
    <w:rsid w:val="00236135"/>
    <w:rsid w:val="00243056"/>
    <w:rsid w:val="0024324A"/>
    <w:rsid w:val="002435E3"/>
    <w:rsid w:val="002440FD"/>
    <w:rsid w:val="00244357"/>
    <w:rsid w:val="00244C9A"/>
    <w:rsid w:val="00244FFE"/>
    <w:rsid w:val="00245F22"/>
    <w:rsid w:val="00247653"/>
    <w:rsid w:val="00254FD3"/>
    <w:rsid w:val="002561D3"/>
    <w:rsid w:val="00256269"/>
    <w:rsid w:val="00260723"/>
    <w:rsid w:val="002607A3"/>
    <w:rsid w:val="00260BB7"/>
    <w:rsid w:val="00262FF0"/>
    <w:rsid w:val="00264A67"/>
    <w:rsid w:val="002664E2"/>
    <w:rsid w:val="0027038C"/>
    <w:rsid w:val="002716FB"/>
    <w:rsid w:val="0027505D"/>
    <w:rsid w:val="002751D4"/>
    <w:rsid w:val="00281581"/>
    <w:rsid w:val="00281895"/>
    <w:rsid w:val="00287E9A"/>
    <w:rsid w:val="00290DB8"/>
    <w:rsid w:val="002910ED"/>
    <w:rsid w:val="00291D3C"/>
    <w:rsid w:val="0029219F"/>
    <w:rsid w:val="00292FA3"/>
    <w:rsid w:val="00293E8A"/>
    <w:rsid w:val="00294281"/>
    <w:rsid w:val="00296F36"/>
    <w:rsid w:val="00297496"/>
    <w:rsid w:val="002975F4"/>
    <w:rsid w:val="002976E3"/>
    <w:rsid w:val="002A083C"/>
    <w:rsid w:val="002A1D98"/>
    <w:rsid w:val="002A21B8"/>
    <w:rsid w:val="002A257F"/>
    <w:rsid w:val="002A2FE1"/>
    <w:rsid w:val="002A31C4"/>
    <w:rsid w:val="002A5EB4"/>
    <w:rsid w:val="002B07C6"/>
    <w:rsid w:val="002B340B"/>
    <w:rsid w:val="002B3493"/>
    <w:rsid w:val="002B3A14"/>
    <w:rsid w:val="002B3F6A"/>
    <w:rsid w:val="002B49AD"/>
    <w:rsid w:val="002B5887"/>
    <w:rsid w:val="002B758B"/>
    <w:rsid w:val="002B7C5D"/>
    <w:rsid w:val="002C14F9"/>
    <w:rsid w:val="002C57E1"/>
    <w:rsid w:val="002C5A53"/>
    <w:rsid w:val="002C5DC3"/>
    <w:rsid w:val="002C639D"/>
    <w:rsid w:val="002C796F"/>
    <w:rsid w:val="002D0440"/>
    <w:rsid w:val="002D2BA8"/>
    <w:rsid w:val="002D2D7E"/>
    <w:rsid w:val="002D2EC2"/>
    <w:rsid w:val="002D337A"/>
    <w:rsid w:val="002D337E"/>
    <w:rsid w:val="002D49D4"/>
    <w:rsid w:val="002D5A0E"/>
    <w:rsid w:val="002D6427"/>
    <w:rsid w:val="002D712C"/>
    <w:rsid w:val="002D7C63"/>
    <w:rsid w:val="002E0D36"/>
    <w:rsid w:val="002E1BAA"/>
    <w:rsid w:val="002E206A"/>
    <w:rsid w:val="002E32E7"/>
    <w:rsid w:val="002E3A30"/>
    <w:rsid w:val="002E4F80"/>
    <w:rsid w:val="002E7D17"/>
    <w:rsid w:val="002F160B"/>
    <w:rsid w:val="002F39C9"/>
    <w:rsid w:val="002F5991"/>
    <w:rsid w:val="002F64F8"/>
    <w:rsid w:val="002F71FE"/>
    <w:rsid w:val="002F7432"/>
    <w:rsid w:val="0030004D"/>
    <w:rsid w:val="0030300C"/>
    <w:rsid w:val="00303339"/>
    <w:rsid w:val="00303577"/>
    <w:rsid w:val="00303B22"/>
    <w:rsid w:val="00305902"/>
    <w:rsid w:val="0030792E"/>
    <w:rsid w:val="00307D8B"/>
    <w:rsid w:val="003100C5"/>
    <w:rsid w:val="003102E4"/>
    <w:rsid w:val="00311404"/>
    <w:rsid w:val="00311592"/>
    <w:rsid w:val="00311F7A"/>
    <w:rsid w:val="00314A50"/>
    <w:rsid w:val="00314CE0"/>
    <w:rsid w:val="003161E0"/>
    <w:rsid w:val="0031718B"/>
    <w:rsid w:val="00320AF9"/>
    <w:rsid w:val="0032284B"/>
    <w:rsid w:val="00322C31"/>
    <w:rsid w:val="0032383B"/>
    <w:rsid w:val="00323EA2"/>
    <w:rsid w:val="00324629"/>
    <w:rsid w:val="00324942"/>
    <w:rsid w:val="00325F10"/>
    <w:rsid w:val="0033180A"/>
    <w:rsid w:val="00332BD1"/>
    <w:rsid w:val="003359A2"/>
    <w:rsid w:val="00340298"/>
    <w:rsid w:val="00340404"/>
    <w:rsid w:val="00341B1F"/>
    <w:rsid w:val="00342232"/>
    <w:rsid w:val="0034260C"/>
    <w:rsid w:val="00342F58"/>
    <w:rsid w:val="00344A42"/>
    <w:rsid w:val="00345172"/>
    <w:rsid w:val="00345847"/>
    <w:rsid w:val="00345904"/>
    <w:rsid w:val="00346DB2"/>
    <w:rsid w:val="00350577"/>
    <w:rsid w:val="00351CA1"/>
    <w:rsid w:val="00351E99"/>
    <w:rsid w:val="00352805"/>
    <w:rsid w:val="00352E10"/>
    <w:rsid w:val="003553D7"/>
    <w:rsid w:val="00361414"/>
    <w:rsid w:val="0036323C"/>
    <w:rsid w:val="003637A9"/>
    <w:rsid w:val="00364C10"/>
    <w:rsid w:val="00364D92"/>
    <w:rsid w:val="003651A8"/>
    <w:rsid w:val="0036523B"/>
    <w:rsid w:val="00365E80"/>
    <w:rsid w:val="0036697F"/>
    <w:rsid w:val="00366A7D"/>
    <w:rsid w:val="00370538"/>
    <w:rsid w:val="00370EE3"/>
    <w:rsid w:val="0037127A"/>
    <w:rsid w:val="00371669"/>
    <w:rsid w:val="003723DE"/>
    <w:rsid w:val="00372F36"/>
    <w:rsid w:val="0037409D"/>
    <w:rsid w:val="00374A1A"/>
    <w:rsid w:val="0037542D"/>
    <w:rsid w:val="003757DC"/>
    <w:rsid w:val="003757FE"/>
    <w:rsid w:val="0037639C"/>
    <w:rsid w:val="00376BFC"/>
    <w:rsid w:val="003775B8"/>
    <w:rsid w:val="00380344"/>
    <w:rsid w:val="003805A7"/>
    <w:rsid w:val="003813A4"/>
    <w:rsid w:val="0038206F"/>
    <w:rsid w:val="00382C6A"/>
    <w:rsid w:val="00382E67"/>
    <w:rsid w:val="003837A1"/>
    <w:rsid w:val="003837C7"/>
    <w:rsid w:val="00383877"/>
    <w:rsid w:val="00384669"/>
    <w:rsid w:val="00384B1E"/>
    <w:rsid w:val="00385360"/>
    <w:rsid w:val="00386BE7"/>
    <w:rsid w:val="00386DF4"/>
    <w:rsid w:val="00387E7E"/>
    <w:rsid w:val="00391A1F"/>
    <w:rsid w:val="00391F59"/>
    <w:rsid w:val="00393C16"/>
    <w:rsid w:val="003955A2"/>
    <w:rsid w:val="00395F2D"/>
    <w:rsid w:val="00396B5C"/>
    <w:rsid w:val="00397211"/>
    <w:rsid w:val="003A09F4"/>
    <w:rsid w:val="003A10AB"/>
    <w:rsid w:val="003A10F5"/>
    <w:rsid w:val="003A1A6E"/>
    <w:rsid w:val="003A454B"/>
    <w:rsid w:val="003A4BDF"/>
    <w:rsid w:val="003A4E67"/>
    <w:rsid w:val="003A5ED9"/>
    <w:rsid w:val="003A72E5"/>
    <w:rsid w:val="003B35BE"/>
    <w:rsid w:val="003B367D"/>
    <w:rsid w:val="003B3E7D"/>
    <w:rsid w:val="003B559E"/>
    <w:rsid w:val="003B59D9"/>
    <w:rsid w:val="003B5D45"/>
    <w:rsid w:val="003B6952"/>
    <w:rsid w:val="003B6DB5"/>
    <w:rsid w:val="003C04E7"/>
    <w:rsid w:val="003C10DD"/>
    <w:rsid w:val="003C1190"/>
    <w:rsid w:val="003C1289"/>
    <w:rsid w:val="003C3300"/>
    <w:rsid w:val="003C3481"/>
    <w:rsid w:val="003C3791"/>
    <w:rsid w:val="003C422D"/>
    <w:rsid w:val="003C5ABF"/>
    <w:rsid w:val="003C69D7"/>
    <w:rsid w:val="003C77CD"/>
    <w:rsid w:val="003C7AE5"/>
    <w:rsid w:val="003D10D2"/>
    <w:rsid w:val="003D137A"/>
    <w:rsid w:val="003D1E45"/>
    <w:rsid w:val="003D2006"/>
    <w:rsid w:val="003D22F0"/>
    <w:rsid w:val="003D300E"/>
    <w:rsid w:val="003D430B"/>
    <w:rsid w:val="003D647D"/>
    <w:rsid w:val="003D7B1B"/>
    <w:rsid w:val="003E01CB"/>
    <w:rsid w:val="003E01D7"/>
    <w:rsid w:val="003E11C1"/>
    <w:rsid w:val="003E15AA"/>
    <w:rsid w:val="003E19BE"/>
    <w:rsid w:val="003E2BFA"/>
    <w:rsid w:val="003E3C34"/>
    <w:rsid w:val="003E46E0"/>
    <w:rsid w:val="003E5F8D"/>
    <w:rsid w:val="003E744E"/>
    <w:rsid w:val="003E7467"/>
    <w:rsid w:val="003F0E5A"/>
    <w:rsid w:val="003F1FCB"/>
    <w:rsid w:val="003F2F87"/>
    <w:rsid w:val="003F3D20"/>
    <w:rsid w:val="003F3D3D"/>
    <w:rsid w:val="003F3E48"/>
    <w:rsid w:val="003F4477"/>
    <w:rsid w:val="003F4A55"/>
    <w:rsid w:val="003F4FAB"/>
    <w:rsid w:val="003F5A9B"/>
    <w:rsid w:val="003F5CA7"/>
    <w:rsid w:val="004007DB"/>
    <w:rsid w:val="00400C8B"/>
    <w:rsid w:val="00400F50"/>
    <w:rsid w:val="00401F92"/>
    <w:rsid w:val="004024F1"/>
    <w:rsid w:val="00403EE9"/>
    <w:rsid w:val="004043A2"/>
    <w:rsid w:val="00405121"/>
    <w:rsid w:val="0040590F"/>
    <w:rsid w:val="0041079B"/>
    <w:rsid w:val="00410D40"/>
    <w:rsid w:val="00411141"/>
    <w:rsid w:val="00412922"/>
    <w:rsid w:val="00412A51"/>
    <w:rsid w:val="00412CF9"/>
    <w:rsid w:val="00414707"/>
    <w:rsid w:val="00414E62"/>
    <w:rsid w:val="00416102"/>
    <w:rsid w:val="0041786D"/>
    <w:rsid w:val="0042033E"/>
    <w:rsid w:val="00420952"/>
    <w:rsid w:val="00420ECB"/>
    <w:rsid w:val="0042200D"/>
    <w:rsid w:val="00422355"/>
    <w:rsid w:val="00423691"/>
    <w:rsid w:val="004241DC"/>
    <w:rsid w:val="004248EB"/>
    <w:rsid w:val="004269BD"/>
    <w:rsid w:val="00426DC2"/>
    <w:rsid w:val="00427452"/>
    <w:rsid w:val="004278D2"/>
    <w:rsid w:val="00427D01"/>
    <w:rsid w:val="00427FB7"/>
    <w:rsid w:val="00431297"/>
    <w:rsid w:val="00433227"/>
    <w:rsid w:val="00434521"/>
    <w:rsid w:val="00435338"/>
    <w:rsid w:val="00435C59"/>
    <w:rsid w:val="0043640B"/>
    <w:rsid w:val="00436A23"/>
    <w:rsid w:val="00437A7F"/>
    <w:rsid w:val="00440C79"/>
    <w:rsid w:val="00441801"/>
    <w:rsid w:val="00441A24"/>
    <w:rsid w:val="00442C53"/>
    <w:rsid w:val="0044338F"/>
    <w:rsid w:val="00443946"/>
    <w:rsid w:val="00444AAB"/>
    <w:rsid w:val="00444C0C"/>
    <w:rsid w:val="00445268"/>
    <w:rsid w:val="00445A89"/>
    <w:rsid w:val="00446354"/>
    <w:rsid w:val="004467D3"/>
    <w:rsid w:val="00447228"/>
    <w:rsid w:val="00447783"/>
    <w:rsid w:val="004528BC"/>
    <w:rsid w:val="004541C8"/>
    <w:rsid w:val="0045494F"/>
    <w:rsid w:val="00455782"/>
    <w:rsid w:val="0046208D"/>
    <w:rsid w:val="00462769"/>
    <w:rsid w:val="0047140D"/>
    <w:rsid w:val="004717D9"/>
    <w:rsid w:val="00472192"/>
    <w:rsid w:val="00472FDE"/>
    <w:rsid w:val="00474521"/>
    <w:rsid w:val="0047466A"/>
    <w:rsid w:val="00474B80"/>
    <w:rsid w:val="00475C95"/>
    <w:rsid w:val="004765B6"/>
    <w:rsid w:val="00477688"/>
    <w:rsid w:val="00477E9B"/>
    <w:rsid w:val="00480F78"/>
    <w:rsid w:val="00481BCD"/>
    <w:rsid w:val="0048224C"/>
    <w:rsid w:val="00482715"/>
    <w:rsid w:val="004837DF"/>
    <w:rsid w:val="00484CB3"/>
    <w:rsid w:val="00486458"/>
    <w:rsid w:val="00487370"/>
    <w:rsid w:val="004874B1"/>
    <w:rsid w:val="0049062C"/>
    <w:rsid w:val="0049146C"/>
    <w:rsid w:val="00491A79"/>
    <w:rsid w:val="0049301E"/>
    <w:rsid w:val="004939DA"/>
    <w:rsid w:val="00493C3F"/>
    <w:rsid w:val="00494B59"/>
    <w:rsid w:val="00494C4F"/>
    <w:rsid w:val="004957EF"/>
    <w:rsid w:val="004A026A"/>
    <w:rsid w:val="004A099A"/>
    <w:rsid w:val="004A4374"/>
    <w:rsid w:val="004A4C5B"/>
    <w:rsid w:val="004A5947"/>
    <w:rsid w:val="004A5A84"/>
    <w:rsid w:val="004A5B1A"/>
    <w:rsid w:val="004A7991"/>
    <w:rsid w:val="004A7C68"/>
    <w:rsid w:val="004B0612"/>
    <w:rsid w:val="004B0715"/>
    <w:rsid w:val="004B081D"/>
    <w:rsid w:val="004B1A75"/>
    <w:rsid w:val="004B23E3"/>
    <w:rsid w:val="004B2C74"/>
    <w:rsid w:val="004B4BBB"/>
    <w:rsid w:val="004B4EFA"/>
    <w:rsid w:val="004B57E2"/>
    <w:rsid w:val="004B5E0A"/>
    <w:rsid w:val="004B642D"/>
    <w:rsid w:val="004B6BE7"/>
    <w:rsid w:val="004C0967"/>
    <w:rsid w:val="004C1A8F"/>
    <w:rsid w:val="004C2F6C"/>
    <w:rsid w:val="004C37E9"/>
    <w:rsid w:val="004C4882"/>
    <w:rsid w:val="004C51B3"/>
    <w:rsid w:val="004C598D"/>
    <w:rsid w:val="004C6730"/>
    <w:rsid w:val="004D139B"/>
    <w:rsid w:val="004D13A1"/>
    <w:rsid w:val="004D1559"/>
    <w:rsid w:val="004D21EC"/>
    <w:rsid w:val="004D2366"/>
    <w:rsid w:val="004D36A3"/>
    <w:rsid w:val="004D510B"/>
    <w:rsid w:val="004D6107"/>
    <w:rsid w:val="004D6335"/>
    <w:rsid w:val="004E0ECA"/>
    <w:rsid w:val="004E4130"/>
    <w:rsid w:val="004E6338"/>
    <w:rsid w:val="004E6D99"/>
    <w:rsid w:val="004E6F8D"/>
    <w:rsid w:val="004F05B3"/>
    <w:rsid w:val="004F2296"/>
    <w:rsid w:val="004F2C95"/>
    <w:rsid w:val="004F34A8"/>
    <w:rsid w:val="004F4AE0"/>
    <w:rsid w:val="004F526C"/>
    <w:rsid w:val="004F54BA"/>
    <w:rsid w:val="004F72F0"/>
    <w:rsid w:val="004F7983"/>
    <w:rsid w:val="005000FE"/>
    <w:rsid w:val="00500D41"/>
    <w:rsid w:val="00502660"/>
    <w:rsid w:val="00503685"/>
    <w:rsid w:val="00504FB2"/>
    <w:rsid w:val="00505733"/>
    <w:rsid w:val="00506B42"/>
    <w:rsid w:val="005118AB"/>
    <w:rsid w:val="00512034"/>
    <w:rsid w:val="005126B7"/>
    <w:rsid w:val="005142D5"/>
    <w:rsid w:val="00514D3A"/>
    <w:rsid w:val="00514F73"/>
    <w:rsid w:val="00516513"/>
    <w:rsid w:val="005207F1"/>
    <w:rsid w:val="00522900"/>
    <w:rsid w:val="00527C3A"/>
    <w:rsid w:val="005314FE"/>
    <w:rsid w:val="00532ED5"/>
    <w:rsid w:val="0053324B"/>
    <w:rsid w:val="00533AE1"/>
    <w:rsid w:val="00533FB8"/>
    <w:rsid w:val="005340AF"/>
    <w:rsid w:val="00535FA1"/>
    <w:rsid w:val="005361E9"/>
    <w:rsid w:val="0054082E"/>
    <w:rsid w:val="0054132B"/>
    <w:rsid w:val="00541D5A"/>
    <w:rsid w:val="00542A4C"/>
    <w:rsid w:val="00543802"/>
    <w:rsid w:val="005448F9"/>
    <w:rsid w:val="00545C97"/>
    <w:rsid w:val="00546111"/>
    <w:rsid w:val="0054631A"/>
    <w:rsid w:val="005474A7"/>
    <w:rsid w:val="00547F1A"/>
    <w:rsid w:val="00551078"/>
    <w:rsid w:val="005528D7"/>
    <w:rsid w:val="0055319A"/>
    <w:rsid w:val="00553A93"/>
    <w:rsid w:val="00553E41"/>
    <w:rsid w:val="00556ACF"/>
    <w:rsid w:val="005576F2"/>
    <w:rsid w:val="00557A2E"/>
    <w:rsid w:val="005619A4"/>
    <w:rsid w:val="00561A65"/>
    <w:rsid w:val="00563148"/>
    <w:rsid w:val="005631E0"/>
    <w:rsid w:val="00564925"/>
    <w:rsid w:val="00565404"/>
    <w:rsid w:val="005700F5"/>
    <w:rsid w:val="005704A3"/>
    <w:rsid w:val="00570DA0"/>
    <w:rsid w:val="00570F67"/>
    <w:rsid w:val="005727D7"/>
    <w:rsid w:val="00572AAC"/>
    <w:rsid w:val="00576136"/>
    <w:rsid w:val="005764D5"/>
    <w:rsid w:val="005765A1"/>
    <w:rsid w:val="00576A34"/>
    <w:rsid w:val="0058049C"/>
    <w:rsid w:val="00580792"/>
    <w:rsid w:val="0058113B"/>
    <w:rsid w:val="00581334"/>
    <w:rsid w:val="00581514"/>
    <w:rsid w:val="00582386"/>
    <w:rsid w:val="00582A77"/>
    <w:rsid w:val="00582F7C"/>
    <w:rsid w:val="005839B7"/>
    <w:rsid w:val="00583B02"/>
    <w:rsid w:val="00585B72"/>
    <w:rsid w:val="00585E2F"/>
    <w:rsid w:val="00592963"/>
    <w:rsid w:val="005930B9"/>
    <w:rsid w:val="00595052"/>
    <w:rsid w:val="005966F6"/>
    <w:rsid w:val="00597A56"/>
    <w:rsid w:val="005A0E90"/>
    <w:rsid w:val="005A1B17"/>
    <w:rsid w:val="005A26D5"/>
    <w:rsid w:val="005A5060"/>
    <w:rsid w:val="005A5F03"/>
    <w:rsid w:val="005A71B8"/>
    <w:rsid w:val="005B0841"/>
    <w:rsid w:val="005B220B"/>
    <w:rsid w:val="005B296B"/>
    <w:rsid w:val="005B2A20"/>
    <w:rsid w:val="005B2F68"/>
    <w:rsid w:val="005B317C"/>
    <w:rsid w:val="005B37ED"/>
    <w:rsid w:val="005B5728"/>
    <w:rsid w:val="005B6660"/>
    <w:rsid w:val="005B666F"/>
    <w:rsid w:val="005B6787"/>
    <w:rsid w:val="005B6B13"/>
    <w:rsid w:val="005B6B56"/>
    <w:rsid w:val="005B713F"/>
    <w:rsid w:val="005C028E"/>
    <w:rsid w:val="005C1AC2"/>
    <w:rsid w:val="005C226F"/>
    <w:rsid w:val="005C31A5"/>
    <w:rsid w:val="005C54A5"/>
    <w:rsid w:val="005C5E1B"/>
    <w:rsid w:val="005C7F76"/>
    <w:rsid w:val="005D0E31"/>
    <w:rsid w:val="005D0FF6"/>
    <w:rsid w:val="005D15FB"/>
    <w:rsid w:val="005D1814"/>
    <w:rsid w:val="005D2582"/>
    <w:rsid w:val="005D2F4F"/>
    <w:rsid w:val="005D45E2"/>
    <w:rsid w:val="005D4F77"/>
    <w:rsid w:val="005D50E5"/>
    <w:rsid w:val="005D6EAC"/>
    <w:rsid w:val="005D7231"/>
    <w:rsid w:val="005D74B4"/>
    <w:rsid w:val="005E041E"/>
    <w:rsid w:val="005E066A"/>
    <w:rsid w:val="005E0705"/>
    <w:rsid w:val="005E08F0"/>
    <w:rsid w:val="005E0D27"/>
    <w:rsid w:val="005E16E4"/>
    <w:rsid w:val="005E209B"/>
    <w:rsid w:val="005E2853"/>
    <w:rsid w:val="005E3525"/>
    <w:rsid w:val="005E6190"/>
    <w:rsid w:val="005E6D04"/>
    <w:rsid w:val="005E711C"/>
    <w:rsid w:val="005E74E2"/>
    <w:rsid w:val="005E78FF"/>
    <w:rsid w:val="005E797D"/>
    <w:rsid w:val="005F1F14"/>
    <w:rsid w:val="005F2D59"/>
    <w:rsid w:val="005F37C7"/>
    <w:rsid w:val="005F4260"/>
    <w:rsid w:val="005F4702"/>
    <w:rsid w:val="005F4B11"/>
    <w:rsid w:val="005F5F5F"/>
    <w:rsid w:val="005F688B"/>
    <w:rsid w:val="005F7A2D"/>
    <w:rsid w:val="00600416"/>
    <w:rsid w:val="00600EF7"/>
    <w:rsid w:val="006013D6"/>
    <w:rsid w:val="006026D8"/>
    <w:rsid w:val="0060313A"/>
    <w:rsid w:val="00605458"/>
    <w:rsid w:val="0060612E"/>
    <w:rsid w:val="00606422"/>
    <w:rsid w:val="00610966"/>
    <w:rsid w:val="00611A6B"/>
    <w:rsid w:val="00611B75"/>
    <w:rsid w:val="00612785"/>
    <w:rsid w:val="00615124"/>
    <w:rsid w:val="006158C0"/>
    <w:rsid w:val="00617A49"/>
    <w:rsid w:val="00617E8B"/>
    <w:rsid w:val="00621C79"/>
    <w:rsid w:val="006233F4"/>
    <w:rsid w:val="00623ED4"/>
    <w:rsid w:val="00624406"/>
    <w:rsid w:val="0062494A"/>
    <w:rsid w:val="006253F1"/>
    <w:rsid w:val="006264B1"/>
    <w:rsid w:val="00630DAC"/>
    <w:rsid w:val="00630E1C"/>
    <w:rsid w:val="006319BA"/>
    <w:rsid w:val="00635980"/>
    <w:rsid w:val="00635F47"/>
    <w:rsid w:val="00637624"/>
    <w:rsid w:val="0063779D"/>
    <w:rsid w:val="006377D7"/>
    <w:rsid w:val="00640359"/>
    <w:rsid w:val="0064259B"/>
    <w:rsid w:val="00643300"/>
    <w:rsid w:val="006435C5"/>
    <w:rsid w:val="006439B3"/>
    <w:rsid w:val="00643CB6"/>
    <w:rsid w:val="0064411E"/>
    <w:rsid w:val="00644909"/>
    <w:rsid w:val="006449FC"/>
    <w:rsid w:val="00646034"/>
    <w:rsid w:val="006502FA"/>
    <w:rsid w:val="00650C43"/>
    <w:rsid w:val="00651685"/>
    <w:rsid w:val="00651A7D"/>
    <w:rsid w:val="00651B78"/>
    <w:rsid w:val="00651D3F"/>
    <w:rsid w:val="00651D67"/>
    <w:rsid w:val="00651EDB"/>
    <w:rsid w:val="0065276D"/>
    <w:rsid w:val="00653120"/>
    <w:rsid w:val="006538F9"/>
    <w:rsid w:val="00653D99"/>
    <w:rsid w:val="00654444"/>
    <w:rsid w:val="00654E03"/>
    <w:rsid w:val="00655FB0"/>
    <w:rsid w:val="006605C3"/>
    <w:rsid w:val="00663932"/>
    <w:rsid w:val="006646FE"/>
    <w:rsid w:val="006653B1"/>
    <w:rsid w:val="0066550E"/>
    <w:rsid w:val="006655F4"/>
    <w:rsid w:val="006659AF"/>
    <w:rsid w:val="00671016"/>
    <w:rsid w:val="00671C9E"/>
    <w:rsid w:val="006721A6"/>
    <w:rsid w:val="00672F92"/>
    <w:rsid w:val="00672FEE"/>
    <w:rsid w:val="006730DF"/>
    <w:rsid w:val="00673969"/>
    <w:rsid w:val="00674DA6"/>
    <w:rsid w:val="00674E96"/>
    <w:rsid w:val="00675047"/>
    <w:rsid w:val="006757A0"/>
    <w:rsid w:val="00677195"/>
    <w:rsid w:val="006772C8"/>
    <w:rsid w:val="0068010E"/>
    <w:rsid w:val="006809A1"/>
    <w:rsid w:val="00680CA3"/>
    <w:rsid w:val="00681716"/>
    <w:rsid w:val="00681E38"/>
    <w:rsid w:val="00682057"/>
    <w:rsid w:val="00682B2A"/>
    <w:rsid w:val="00682DAF"/>
    <w:rsid w:val="0068372D"/>
    <w:rsid w:val="00684434"/>
    <w:rsid w:val="006852A3"/>
    <w:rsid w:val="006858FD"/>
    <w:rsid w:val="006861EC"/>
    <w:rsid w:val="00686340"/>
    <w:rsid w:val="006865A6"/>
    <w:rsid w:val="0068722B"/>
    <w:rsid w:val="006926C2"/>
    <w:rsid w:val="0069416E"/>
    <w:rsid w:val="00694BB8"/>
    <w:rsid w:val="006958E0"/>
    <w:rsid w:val="00697A44"/>
    <w:rsid w:val="006A0505"/>
    <w:rsid w:val="006A40D6"/>
    <w:rsid w:val="006A46FB"/>
    <w:rsid w:val="006A6A8C"/>
    <w:rsid w:val="006A6D04"/>
    <w:rsid w:val="006B0BFF"/>
    <w:rsid w:val="006B132B"/>
    <w:rsid w:val="006B1E5D"/>
    <w:rsid w:val="006B1F13"/>
    <w:rsid w:val="006B21C1"/>
    <w:rsid w:val="006B31B9"/>
    <w:rsid w:val="006B5D0A"/>
    <w:rsid w:val="006B60FB"/>
    <w:rsid w:val="006B72A7"/>
    <w:rsid w:val="006B7AE3"/>
    <w:rsid w:val="006C2552"/>
    <w:rsid w:val="006C283A"/>
    <w:rsid w:val="006C3AAD"/>
    <w:rsid w:val="006C4BEC"/>
    <w:rsid w:val="006C6A72"/>
    <w:rsid w:val="006C7D24"/>
    <w:rsid w:val="006D253D"/>
    <w:rsid w:val="006D3461"/>
    <w:rsid w:val="006D3599"/>
    <w:rsid w:val="006D48B9"/>
    <w:rsid w:val="006D4BF1"/>
    <w:rsid w:val="006E04C0"/>
    <w:rsid w:val="006E1F31"/>
    <w:rsid w:val="006E288A"/>
    <w:rsid w:val="006E3526"/>
    <w:rsid w:val="006E4B96"/>
    <w:rsid w:val="006E4D62"/>
    <w:rsid w:val="006E69FF"/>
    <w:rsid w:val="006F11BC"/>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20E"/>
    <w:rsid w:val="00711216"/>
    <w:rsid w:val="00711682"/>
    <w:rsid w:val="00713650"/>
    <w:rsid w:val="007150B2"/>
    <w:rsid w:val="00717537"/>
    <w:rsid w:val="00717EBE"/>
    <w:rsid w:val="00720AAE"/>
    <w:rsid w:val="00721CDB"/>
    <w:rsid w:val="00721E2B"/>
    <w:rsid w:val="00722156"/>
    <w:rsid w:val="00723AD7"/>
    <w:rsid w:val="00724BA4"/>
    <w:rsid w:val="00730623"/>
    <w:rsid w:val="00730E9D"/>
    <w:rsid w:val="00734AAC"/>
    <w:rsid w:val="0073782C"/>
    <w:rsid w:val="00737840"/>
    <w:rsid w:val="00740D6F"/>
    <w:rsid w:val="00740F5D"/>
    <w:rsid w:val="00741C57"/>
    <w:rsid w:val="0074243F"/>
    <w:rsid w:val="00742A78"/>
    <w:rsid w:val="00744352"/>
    <w:rsid w:val="0074612B"/>
    <w:rsid w:val="007468E8"/>
    <w:rsid w:val="00747EEB"/>
    <w:rsid w:val="007526D9"/>
    <w:rsid w:val="00752E60"/>
    <w:rsid w:val="007544E5"/>
    <w:rsid w:val="0075607C"/>
    <w:rsid w:val="007565CD"/>
    <w:rsid w:val="00756DD4"/>
    <w:rsid w:val="0075724E"/>
    <w:rsid w:val="007615C1"/>
    <w:rsid w:val="00761B03"/>
    <w:rsid w:val="00762D54"/>
    <w:rsid w:val="00762E7D"/>
    <w:rsid w:val="007656B3"/>
    <w:rsid w:val="00766122"/>
    <w:rsid w:val="00766753"/>
    <w:rsid w:val="00766F33"/>
    <w:rsid w:val="0077182E"/>
    <w:rsid w:val="007729B6"/>
    <w:rsid w:val="00772AF3"/>
    <w:rsid w:val="007743EF"/>
    <w:rsid w:val="0077516D"/>
    <w:rsid w:val="00775AB0"/>
    <w:rsid w:val="0077708B"/>
    <w:rsid w:val="0078081B"/>
    <w:rsid w:val="00782432"/>
    <w:rsid w:val="00783A8D"/>
    <w:rsid w:val="007840ED"/>
    <w:rsid w:val="00784C9B"/>
    <w:rsid w:val="007854A7"/>
    <w:rsid w:val="00785824"/>
    <w:rsid w:val="00785C62"/>
    <w:rsid w:val="00785CA4"/>
    <w:rsid w:val="00785E00"/>
    <w:rsid w:val="0078681D"/>
    <w:rsid w:val="00790456"/>
    <w:rsid w:val="00791200"/>
    <w:rsid w:val="00792334"/>
    <w:rsid w:val="007926F2"/>
    <w:rsid w:val="0079372E"/>
    <w:rsid w:val="00795BCB"/>
    <w:rsid w:val="00796140"/>
    <w:rsid w:val="007970B0"/>
    <w:rsid w:val="007A0C69"/>
    <w:rsid w:val="007A1E73"/>
    <w:rsid w:val="007A29D0"/>
    <w:rsid w:val="007A4257"/>
    <w:rsid w:val="007A6074"/>
    <w:rsid w:val="007A66DE"/>
    <w:rsid w:val="007A6C95"/>
    <w:rsid w:val="007A724A"/>
    <w:rsid w:val="007B0EFF"/>
    <w:rsid w:val="007B139D"/>
    <w:rsid w:val="007B24F5"/>
    <w:rsid w:val="007B2D3C"/>
    <w:rsid w:val="007B2DC8"/>
    <w:rsid w:val="007B330A"/>
    <w:rsid w:val="007B3392"/>
    <w:rsid w:val="007B431E"/>
    <w:rsid w:val="007B4C59"/>
    <w:rsid w:val="007B5192"/>
    <w:rsid w:val="007B5CFB"/>
    <w:rsid w:val="007B613E"/>
    <w:rsid w:val="007B7166"/>
    <w:rsid w:val="007B792E"/>
    <w:rsid w:val="007C1147"/>
    <w:rsid w:val="007C2B22"/>
    <w:rsid w:val="007C2FF3"/>
    <w:rsid w:val="007C375B"/>
    <w:rsid w:val="007C545C"/>
    <w:rsid w:val="007C6419"/>
    <w:rsid w:val="007C6515"/>
    <w:rsid w:val="007D0549"/>
    <w:rsid w:val="007D1019"/>
    <w:rsid w:val="007D2B49"/>
    <w:rsid w:val="007D57D4"/>
    <w:rsid w:val="007D7B4A"/>
    <w:rsid w:val="007D7F35"/>
    <w:rsid w:val="007E086A"/>
    <w:rsid w:val="007E0DC0"/>
    <w:rsid w:val="007E13A4"/>
    <w:rsid w:val="007E15B4"/>
    <w:rsid w:val="007E3D9A"/>
    <w:rsid w:val="007E4057"/>
    <w:rsid w:val="007E4FD4"/>
    <w:rsid w:val="007E5F65"/>
    <w:rsid w:val="007F015D"/>
    <w:rsid w:val="007F048D"/>
    <w:rsid w:val="007F0A0A"/>
    <w:rsid w:val="007F0EF3"/>
    <w:rsid w:val="007F2CA5"/>
    <w:rsid w:val="007F2F27"/>
    <w:rsid w:val="007F3CBF"/>
    <w:rsid w:val="007F3FF3"/>
    <w:rsid w:val="007F5B3A"/>
    <w:rsid w:val="007F5E90"/>
    <w:rsid w:val="007F61D0"/>
    <w:rsid w:val="007F7178"/>
    <w:rsid w:val="007F71C1"/>
    <w:rsid w:val="007F762F"/>
    <w:rsid w:val="008006D8"/>
    <w:rsid w:val="00801A93"/>
    <w:rsid w:val="00803B9E"/>
    <w:rsid w:val="00803D27"/>
    <w:rsid w:val="00804038"/>
    <w:rsid w:val="00804FD1"/>
    <w:rsid w:val="00805308"/>
    <w:rsid w:val="00805348"/>
    <w:rsid w:val="00805771"/>
    <w:rsid w:val="008060A5"/>
    <w:rsid w:val="0080631B"/>
    <w:rsid w:val="00806934"/>
    <w:rsid w:val="00806D06"/>
    <w:rsid w:val="00806E4E"/>
    <w:rsid w:val="00807832"/>
    <w:rsid w:val="008100F5"/>
    <w:rsid w:val="008106A3"/>
    <w:rsid w:val="008107DE"/>
    <w:rsid w:val="00810A8D"/>
    <w:rsid w:val="00810F19"/>
    <w:rsid w:val="008117C2"/>
    <w:rsid w:val="008140CE"/>
    <w:rsid w:val="00817230"/>
    <w:rsid w:val="008179F9"/>
    <w:rsid w:val="00817EC4"/>
    <w:rsid w:val="0082167A"/>
    <w:rsid w:val="00821B77"/>
    <w:rsid w:val="008220F7"/>
    <w:rsid w:val="00822AF1"/>
    <w:rsid w:val="008249BE"/>
    <w:rsid w:val="00824A0D"/>
    <w:rsid w:val="00824BC4"/>
    <w:rsid w:val="00824F16"/>
    <w:rsid w:val="00825625"/>
    <w:rsid w:val="00825E64"/>
    <w:rsid w:val="00826376"/>
    <w:rsid w:val="00830B78"/>
    <w:rsid w:val="00831C73"/>
    <w:rsid w:val="00831ED5"/>
    <w:rsid w:val="0083559D"/>
    <w:rsid w:val="00836173"/>
    <w:rsid w:val="00836F4D"/>
    <w:rsid w:val="00841AB6"/>
    <w:rsid w:val="00842CFE"/>
    <w:rsid w:val="008441DE"/>
    <w:rsid w:val="008442AA"/>
    <w:rsid w:val="00844726"/>
    <w:rsid w:val="00844D3B"/>
    <w:rsid w:val="008473C8"/>
    <w:rsid w:val="00852DCA"/>
    <w:rsid w:val="00856B7C"/>
    <w:rsid w:val="008571C5"/>
    <w:rsid w:val="0085754E"/>
    <w:rsid w:val="00860414"/>
    <w:rsid w:val="008618CB"/>
    <w:rsid w:val="00864229"/>
    <w:rsid w:val="00864BD8"/>
    <w:rsid w:val="00864C4D"/>
    <w:rsid w:val="00865945"/>
    <w:rsid w:val="00866542"/>
    <w:rsid w:val="00867C09"/>
    <w:rsid w:val="00871945"/>
    <w:rsid w:val="00871A21"/>
    <w:rsid w:val="00871E98"/>
    <w:rsid w:val="00873C3E"/>
    <w:rsid w:val="008746B5"/>
    <w:rsid w:val="008753E1"/>
    <w:rsid w:val="008769E1"/>
    <w:rsid w:val="00881711"/>
    <w:rsid w:val="008832F8"/>
    <w:rsid w:val="008858D1"/>
    <w:rsid w:val="00885EA5"/>
    <w:rsid w:val="0088773B"/>
    <w:rsid w:val="00887A46"/>
    <w:rsid w:val="00890C6F"/>
    <w:rsid w:val="008911A8"/>
    <w:rsid w:val="008925CC"/>
    <w:rsid w:val="00892845"/>
    <w:rsid w:val="00892AFD"/>
    <w:rsid w:val="00892C6B"/>
    <w:rsid w:val="008931CC"/>
    <w:rsid w:val="00893CCA"/>
    <w:rsid w:val="008940EB"/>
    <w:rsid w:val="0089490E"/>
    <w:rsid w:val="00897744"/>
    <w:rsid w:val="008A26E2"/>
    <w:rsid w:val="008A397D"/>
    <w:rsid w:val="008A51F4"/>
    <w:rsid w:val="008A63E4"/>
    <w:rsid w:val="008A65F1"/>
    <w:rsid w:val="008B1D69"/>
    <w:rsid w:val="008B3D5C"/>
    <w:rsid w:val="008B5535"/>
    <w:rsid w:val="008B7BC9"/>
    <w:rsid w:val="008C0B8A"/>
    <w:rsid w:val="008C1804"/>
    <w:rsid w:val="008C207B"/>
    <w:rsid w:val="008C25C6"/>
    <w:rsid w:val="008C3DE4"/>
    <w:rsid w:val="008C4D0D"/>
    <w:rsid w:val="008C63AB"/>
    <w:rsid w:val="008C6625"/>
    <w:rsid w:val="008C7B2D"/>
    <w:rsid w:val="008D1585"/>
    <w:rsid w:val="008D2978"/>
    <w:rsid w:val="008D39EC"/>
    <w:rsid w:val="008D3D31"/>
    <w:rsid w:val="008D789D"/>
    <w:rsid w:val="008D7EF0"/>
    <w:rsid w:val="008E0215"/>
    <w:rsid w:val="008E0A1C"/>
    <w:rsid w:val="008E0E05"/>
    <w:rsid w:val="008E1AC0"/>
    <w:rsid w:val="008E1D72"/>
    <w:rsid w:val="008E369E"/>
    <w:rsid w:val="008E4963"/>
    <w:rsid w:val="008E4C10"/>
    <w:rsid w:val="008E4CA2"/>
    <w:rsid w:val="008E5AF8"/>
    <w:rsid w:val="008E6062"/>
    <w:rsid w:val="008E74FF"/>
    <w:rsid w:val="008E7CEA"/>
    <w:rsid w:val="008E7E66"/>
    <w:rsid w:val="008F0698"/>
    <w:rsid w:val="008F10B8"/>
    <w:rsid w:val="008F2A5D"/>
    <w:rsid w:val="008F4F36"/>
    <w:rsid w:val="008F5CAD"/>
    <w:rsid w:val="008F682E"/>
    <w:rsid w:val="008F6AA3"/>
    <w:rsid w:val="008F6BD2"/>
    <w:rsid w:val="008F7B07"/>
    <w:rsid w:val="008F7B43"/>
    <w:rsid w:val="008F7FEB"/>
    <w:rsid w:val="00900246"/>
    <w:rsid w:val="00901C9E"/>
    <w:rsid w:val="00902060"/>
    <w:rsid w:val="00902321"/>
    <w:rsid w:val="00902773"/>
    <w:rsid w:val="00902A5B"/>
    <w:rsid w:val="00902D64"/>
    <w:rsid w:val="00904BE6"/>
    <w:rsid w:val="009076A7"/>
    <w:rsid w:val="00910D9E"/>
    <w:rsid w:val="0091369E"/>
    <w:rsid w:val="00914E35"/>
    <w:rsid w:val="00915342"/>
    <w:rsid w:val="009170C0"/>
    <w:rsid w:val="00917CFF"/>
    <w:rsid w:val="009200B2"/>
    <w:rsid w:val="0092042D"/>
    <w:rsid w:val="009205DA"/>
    <w:rsid w:val="00921367"/>
    <w:rsid w:val="00922D59"/>
    <w:rsid w:val="009231B3"/>
    <w:rsid w:val="0092395E"/>
    <w:rsid w:val="00924023"/>
    <w:rsid w:val="00926B02"/>
    <w:rsid w:val="009307C6"/>
    <w:rsid w:val="00931D77"/>
    <w:rsid w:val="0093330F"/>
    <w:rsid w:val="009336C7"/>
    <w:rsid w:val="009336D5"/>
    <w:rsid w:val="009357E0"/>
    <w:rsid w:val="0094153D"/>
    <w:rsid w:val="00942200"/>
    <w:rsid w:val="00942FE2"/>
    <w:rsid w:val="00943F3F"/>
    <w:rsid w:val="009450F7"/>
    <w:rsid w:val="0094683F"/>
    <w:rsid w:val="009476B7"/>
    <w:rsid w:val="00950791"/>
    <w:rsid w:val="00950F1C"/>
    <w:rsid w:val="00952F16"/>
    <w:rsid w:val="0095318A"/>
    <w:rsid w:val="00953603"/>
    <w:rsid w:val="00953D4F"/>
    <w:rsid w:val="00953D99"/>
    <w:rsid w:val="009540B3"/>
    <w:rsid w:val="0095676A"/>
    <w:rsid w:val="009611DC"/>
    <w:rsid w:val="009614B9"/>
    <w:rsid w:val="00961B5B"/>
    <w:rsid w:val="00961C6D"/>
    <w:rsid w:val="009625BD"/>
    <w:rsid w:val="009657AC"/>
    <w:rsid w:val="00965AB4"/>
    <w:rsid w:val="00967E3C"/>
    <w:rsid w:val="0097009E"/>
    <w:rsid w:val="009706B8"/>
    <w:rsid w:val="00970DDE"/>
    <w:rsid w:val="00972B53"/>
    <w:rsid w:val="00972BBD"/>
    <w:rsid w:val="00972E81"/>
    <w:rsid w:val="00973CD7"/>
    <w:rsid w:val="009759EB"/>
    <w:rsid w:val="00976444"/>
    <w:rsid w:val="00977021"/>
    <w:rsid w:val="009802B4"/>
    <w:rsid w:val="00983CDE"/>
    <w:rsid w:val="00985049"/>
    <w:rsid w:val="00985097"/>
    <w:rsid w:val="0098525D"/>
    <w:rsid w:val="00990942"/>
    <w:rsid w:val="009911AA"/>
    <w:rsid w:val="00991B92"/>
    <w:rsid w:val="009922DE"/>
    <w:rsid w:val="00992537"/>
    <w:rsid w:val="00994401"/>
    <w:rsid w:val="00994BD6"/>
    <w:rsid w:val="00996BD2"/>
    <w:rsid w:val="0099727E"/>
    <w:rsid w:val="00997E29"/>
    <w:rsid w:val="009A12C4"/>
    <w:rsid w:val="009A36A4"/>
    <w:rsid w:val="009A4019"/>
    <w:rsid w:val="009A4BB3"/>
    <w:rsid w:val="009A530D"/>
    <w:rsid w:val="009A6363"/>
    <w:rsid w:val="009A7951"/>
    <w:rsid w:val="009B0B41"/>
    <w:rsid w:val="009B1E73"/>
    <w:rsid w:val="009B274E"/>
    <w:rsid w:val="009B2DCD"/>
    <w:rsid w:val="009B7A54"/>
    <w:rsid w:val="009B7AA5"/>
    <w:rsid w:val="009C0036"/>
    <w:rsid w:val="009C0E3E"/>
    <w:rsid w:val="009C1580"/>
    <w:rsid w:val="009C1F8F"/>
    <w:rsid w:val="009C2EB5"/>
    <w:rsid w:val="009C383E"/>
    <w:rsid w:val="009C4A2D"/>
    <w:rsid w:val="009C5274"/>
    <w:rsid w:val="009C6772"/>
    <w:rsid w:val="009C79C1"/>
    <w:rsid w:val="009D2762"/>
    <w:rsid w:val="009D75AF"/>
    <w:rsid w:val="009E040B"/>
    <w:rsid w:val="009E0587"/>
    <w:rsid w:val="009E0DEC"/>
    <w:rsid w:val="009E108F"/>
    <w:rsid w:val="009E12F9"/>
    <w:rsid w:val="009E181A"/>
    <w:rsid w:val="009E25FD"/>
    <w:rsid w:val="009E2750"/>
    <w:rsid w:val="009E459D"/>
    <w:rsid w:val="009E5265"/>
    <w:rsid w:val="009E60CC"/>
    <w:rsid w:val="009E61D7"/>
    <w:rsid w:val="009E719F"/>
    <w:rsid w:val="009E7215"/>
    <w:rsid w:val="009F143B"/>
    <w:rsid w:val="009F1664"/>
    <w:rsid w:val="009F2F70"/>
    <w:rsid w:val="009F42A9"/>
    <w:rsid w:val="009F46E9"/>
    <w:rsid w:val="009F530F"/>
    <w:rsid w:val="00A004E1"/>
    <w:rsid w:val="00A0267C"/>
    <w:rsid w:val="00A02D07"/>
    <w:rsid w:val="00A052A2"/>
    <w:rsid w:val="00A05A8F"/>
    <w:rsid w:val="00A069F9"/>
    <w:rsid w:val="00A06ADE"/>
    <w:rsid w:val="00A0798A"/>
    <w:rsid w:val="00A07AE0"/>
    <w:rsid w:val="00A10D01"/>
    <w:rsid w:val="00A116C5"/>
    <w:rsid w:val="00A131FA"/>
    <w:rsid w:val="00A13395"/>
    <w:rsid w:val="00A13535"/>
    <w:rsid w:val="00A13AED"/>
    <w:rsid w:val="00A13D69"/>
    <w:rsid w:val="00A13EEA"/>
    <w:rsid w:val="00A1639C"/>
    <w:rsid w:val="00A16F24"/>
    <w:rsid w:val="00A174FC"/>
    <w:rsid w:val="00A17718"/>
    <w:rsid w:val="00A177AD"/>
    <w:rsid w:val="00A17B4F"/>
    <w:rsid w:val="00A218CC"/>
    <w:rsid w:val="00A21B14"/>
    <w:rsid w:val="00A22030"/>
    <w:rsid w:val="00A2253E"/>
    <w:rsid w:val="00A22644"/>
    <w:rsid w:val="00A22A94"/>
    <w:rsid w:val="00A23EB4"/>
    <w:rsid w:val="00A254CF"/>
    <w:rsid w:val="00A25B0A"/>
    <w:rsid w:val="00A317F5"/>
    <w:rsid w:val="00A326E4"/>
    <w:rsid w:val="00A32D44"/>
    <w:rsid w:val="00A32E33"/>
    <w:rsid w:val="00A33040"/>
    <w:rsid w:val="00A33A30"/>
    <w:rsid w:val="00A33C12"/>
    <w:rsid w:val="00A340AC"/>
    <w:rsid w:val="00A35638"/>
    <w:rsid w:val="00A37F04"/>
    <w:rsid w:val="00A42456"/>
    <w:rsid w:val="00A436CC"/>
    <w:rsid w:val="00A438FE"/>
    <w:rsid w:val="00A4415C"/>
    <w:rsid w:val="00A46EE5"/>
    <w:rsid w:val="00A50012"/>
    <w:rsid w:val="00A515A5"/>
    <w:rsid w:val="00A51940"/>
    <w:rsid w:val="00A5420C"/>
    <w:rsid w:val="00A545B6"/>
    <w:rsid w:val="00A55DAE"/>
    <w:rsid w:val="00A56C8F"/>
    <w:rsid w:val="00A5773C"/>
    <w:rsid w:val="00A57A14"/>
    <w:rsid w:val="00A60B81"/>
    <w:rsid w:val="00A630D8"/>
    <w:rsid w:val="00A63510"/>
    <w:rsid w:val="00A64979"/>
    <w:rsid w:val="00A65037"/>
    <w:rsid w:val="00A672C9"/>
    <w:rsid w:val="00A6780D"/>
    <w:rsid w:val="00A70254"/>
    <w:rsid w:val="00A705BB"/>
    <w:rsid w:val="00A719CB"/>
    <w:rsid w:val="00A71D22"/>
    <w:rsid w:val="00A73088"/>
    <w:rsid w:val="00A73159"/>
    <w:rsid w:val="00A74C78"/>
    <w:rsid w:val="00A74FAB"/>
    <w:rsid w:val="00A751FA"/>
    <w:rsid w:val="00A7681D"/>
    <w:rsid w:val="00A77872"/>
    <w:rsid w:val="00A802C0"/>
    <w:rsid w:val="00A80887"/>
    <w:rsid w:val="00A8123C"/>
    <w:rsid w:val="00A813A5"/>
    <w:rsid w:val="00A81744"/>
    <w:rsid w:val="00A8483F"/>
    <w:rsid w:val="00A84DF7"/>
    <w:rsid w:val="00A85BFF"/>
    <w:rsid w:val="00A86B36"/>
    <w:rsid w:val="00A90378"/>
    <w:rsid w:val="00A911C5"/>
    <w:rsid w:val="00A911E5"/>
    <w:rsid w:val="00A92DAF"/>
    <w:rsid w:val="00A932DB"/>
    <w:rsid w:val="00A94D1F"/>
    <w:rsid w:val="00A965DB"/>
    <w:rsid w:val="00A97664"/>
    <w:rsid w:val="00AA19A0"/>
    <w:rsid w:val="00AA1E45"/>
    <w:rsid w:val="00AA3238"/>
    <w:rsid w:val="00AA4443"/>
    <w:rsid w:val="00AA5269"/>
    <w:rsid w:val="00AA55FA"/>
    <w:rsid w:val="00AA6F3D"/>
    <w:rsid w:val="00AA7EA9"/>
    <w:rsid w:val="00AB00C5"/>
    <w:rsid w:val="00AB0474"/>
    <w:rsid w:val="00AB0801"/>
    <w:rsid w:val="00AB087E"/>
    <w:rsid w:val="00AB274F"/>
    <w:rsid w:val="00AB43EE"/>
    <w:rsid w:val="00AB4886"/>
    <w:rsid w:val="00AB4E74"/>
    <w:rsid w:val="00AB4F39"/>
    <w:rsid w:val="00AB5204"/>
    <w:rsid w:val="00AB55A1"/>
    <w:rsid w:val="00AB5F26"/>
    <w:rsid w:val="00AB6270"/>
    <w:rsid w:val="00AB68FD"/>
    <w:rsid w:val="00AB71D2"/>
    <w:rsid w:val="00AB794A"/>
    <w:rsid w:val="00AC1179"/>
    <w:rsid w:val="00AC198A"/>
    <w:rsid w:val="00AC3394"/>
    <w:rsid w:val="00AC39FB"/>
    <w:rsid w:val="00AC6AA0"/>
    <w:rsid w:val="00AC6F7A"/>
    <w:rsid w:val="00AC6FC4"/>
    <w:rsid w:val="00AC779B"/>
    <w:rsid w:val="00AD0C62"/>
    <w:rsid w:val="00AD1A04"/>
    <w:rsid w:val="00AD4439"/>
    <w:rsid w:val="00AD5379"/>
    <w:rsid w:val="00AD5B78"/>
    <w:rsid w:val="00AD7E7D"/>
    <w:rsid w:val="00AE1523"/>
    <w:rsid w:val="00AE17D6"/>
    <w:rsid w:val="00AE2971"/>
    <w:rsid w:val="00AE2AF0"/>
    <w:rsid w:val="00AE3657"/>
    <w:rsid w:val="00AE3DE8"/>
    <w:rsid w:val="00AE407D"/>
    <w:rsid w:val="00AE5977"/>
    <w:rsid w:val="00AE5C2B"/>
    <w:rsid w:val="00AE6164"/>
    <w:rsid w:val="00AE6616"/>
    <w:rsid w:val="00AE6F19"/>
    <w:rsid w:val="00AE7655"/>
    <w:rsid w:val="00AF2848"/>
    <w:rsid w:val="00AF399B"/>
    <w:rsid w:val="00AF3C23"/>
    <w:rsid w:val="00AF4029"/>
    <w:rsid w:val="00AF4D79"/>
    <w:rsid w:val="00AF5109"/>
    <w:rsid w:val="00AF68BD"/>
    <w:rsid w:val="00B01B10"/>
    <w:rsid w:val="00B04E8A"/>
    <w:rsid w:val="00B10B2B"/>
    <w:rsid w:val="00B16832"/>
    <w:rsid w:val="00B17262"/>
    <w:rsid w:val="00B21642"/>
    <w:rsid w:val="00B22DE7"/>
    <w:rsid w:val="00B245AB"/>
    <w:rsid w:val="00B2583C"/>
    <w:rsid w:val="00B25AA0"/>
    <w:rsid w:val="00B25BAB"/>
    <w:rsid w:val="00B260BA"/>
    <w:rsid w:val="00B26136"/>
    <w:rsid w:val="00B26BE5"/>
    <w:rsid w:val="00B275CC"/>
    <w:rsid w:val="00B2769E"/>
    <w:rsid w:val="00B27EAD"/>
    <w:rsid w:val="00B301A6"/>
    <w:rsid w:val="00B31CB8"/>
    <w:rsid w:val="00B31F85"/>
    <w:rsid w:val="00B321B6"/>
    <w:rsid w:val="00B3408E"/>
    <w:rsid w:val="00B347CE"/>
    <w:rsid w:val="00B34EB2"/>
    <w:rsid w:val="00B35352"/>
    <w:rsid w:val="00B35DF2"/>
    <w:rsid w:val="00B35EE6"/>
    <w:rsid w:val="00B36FE3"/>
    <w:rsid w:val="00B37C3B"/>
    <w:rsid w:val="00B41924"/>
    <w:rsid w:val="00B423E7"/>
    <w:rsid w:val="00B42595"/>
    <w:rsid w:val="00B4386D"/>
    <w:rsid w:val="00B43B1C"/>
    <w:rsid w:val="00B43F3F"/>
    <w:rsid w:val="00B441A2"/>
    <w:rsid w:val="00B446F3"/>
    <w:rsid w:val="00B50613"/>
    <w:rsid w:val="00B52A95"/>
    <w:rsid w:val="00B52F51"/>
    <w:rsid w:val="00B53B58"/>
    <w:rsid w:val="00B54AF8"/>
    <w:rsid w:val="00B552BB"/>
    <w:rsid w:val="00B55C65"/>
    <w:rsid w:val="00B57615"/>
    <w:rsid w:val="00B62C7E"/>
    <w:rsid w:val="00B6330B"/>
    <w:rsid w:val="00B63F50"/>
    <w:rsid w:val="00B6444A"/>
    <w:rsid w:val="00B65159"/>
    <w:rsid w:val="00B6582C"/>
    <w:rsid w:val="00B66178"/>
    <w:rsid w:val="00B66B46"/>
    <w:rsid w:val="00B66D0E"/>
    <w:rsid w:val="00B67007"/>
    <w:rsid w:val="00B701C5"/>
    <w:rsid w:val="00B7127A"/>
    <w:rsid w:val="00B718AC"/>
    <w:rsid w:val="00B71DD3"/>
    <w:rsid w:val="00B76482"/>
    <w:rsid w:val="00B77F21"/>
    <w:rsid w:val="00B8030E"/>
    <w:rsid w:val="00B80FF2"/>
    <w:rsid w:val="00B82ED6"/>
    <w:rsid w:val="00B83205"/>
    <w:rsid w:val="00B849FF"/>
    <w:rsid w:val="00B85A41"/>
    <w:rsid w:val="00B86B36"/>
    <w:rsid w:val="00B876B0"/>
    <w:rsid w:val="00B90992"/>
    <w:rsid w:val="00B9156A"/>
    <w:rsid w:val="00B928F9"/>
    <w:rsid w:val="00B937C3"/>
    <w:rsid w:val="00B938DC"/>
    <w:rsid w:val="00B93F55"/>
    <w:rsid w:val="00B946F8"/>
    <w:rsid w:val="00B95B1F"/>
    <w:rsid w:val="00B968AA"/>
    <w:rsid w:val="00B97750"/>
    <w:rsid w:val="00BA082C"/>
    <w:rsid w:val="00BA23A6"/>
    <w:rsid w:val="00BA23E5"/>
    <w:rsid w:val="00BA2857"/>
    <w:rsid w:val="00BA3A6A"/>
    <w:rsid w:val="00BA3CBD"/>
    <w:rsid w:val="00BA4130"/>
    <w:rsid w:val="00BA42CD"/>
    <w:rsid w:val="00BA6A20"/>
    <w:rsid w:val="00BA6FB5"/>
    <w:rsid w:val="00BA742D"/>
    <w:rsid w:val="00BB0753"/>
    <w:rsid w:val="00BB18F2"/>
    <w:rsid w:val="00BB2C25"/>
    <w:rsid w:val="00BB3CAB"/>
    <w:rsid w:val="00BB3DBA"/>
    <w:rsid w:val="00BB43C6"/>
    <w:rsid w:val="00BB449B"/>
    <w:rsid w:val="00BB7602"/>
    <w:rsid w:val="00BB7A44"/>
    <w:rsid w:val="00BC2661"/>
    <w:rsid w:val="00BC3ACB"/>
    <w:rsid w:val="00BC4133"/>
    <w:rsid w:val="00BC576C"/>
    <w:rsid w:val="00BD0260"/>
    <w:rsid w:val="00BD2CDD"/>
    <w:rsid w:val="00BD4B00"/>
    <w:rsid w:val="00BD5CC5"/>
    <w:rsid w:val="00BD6526"/>
    <w:rsid w:val="00BD7047"/>
    <w:rsid w:val="00BD79DD"/>
    <w:rsid w:val="00BD7A48"/>
    <w:rsid w:val="00BD7DF3"/>
    <w:rsid w:val="00BD7F3E"/>
    <w:rsid w:val="00BE2D76"/>
    <w:rsid w:val="00BE31BA"/>
    <w:rsid w:val="00BE343C"/>
    <w:rsid w:val="00BE4440"/>
    <w:rsid w:val="00BE459E"/>
    <w:rsid w:val="00BE59C0"/>
    <w:rsid w:val="00BE6778"/>
    <w:rsid w:val="00BE721E"/>
    <w:rsid w:val="00BE7C8B"/>
    <w:rsid w:val="00BF0152"/>
    <w:rsid w:val="00BF03A6"/>
    <w:rsid w:val="00BF13F1"/>
    <w:rsid w:val="00BF27A8"/>
    <w:rsid w:val="00BF30A9"/>
    <w:rsid w:val="00BF3B89"/>
    <w:rsid w:val="00BF3FCB"/>
    <w:rsid w:val="00BF5870"/>
    <w:rsid w:val="00BF6622"/>
    <w:rsid w:val="00BF7806"/>
    <w:rsid w:val="00BF7F23"/>
    <w:rsid w:val="00C0056A"/>
    <w:rsid w:val="00C00A71"/>
    <w:rsid w:val="00C0164B"/>
    <w:rsid w:val="00C038A6"/>
    <w:rsid w:val="00C06DEB"/>
    <w:rsid w:val="00C07E2C"/>
    <w:rsid w:val="00C102E5"/>
    <w:rsid w:val="00C107C5"/>
    <w:rsid w:val="00C110AA"/>
    <w:rsid w:val="00C116E6"/>
    <w:rsid w:val="00C11B62"/>
    <w:rsid w:val="00C11ED2"/>
    <w:rsid w:val="00C13432"/>
    <w:rsid w:val="00C1372B"/>
    <w:rsid w:val="00C13B01"/>
    <w:rsid w:val="00C14773"/>
    <w:rsid w:val="00C163C2"/>
    <w:rsid w:val="00C170B7"/>
    <w:rsid w:val="00C17500"/>
    <w:rsid w:val="00C2042F"/>
    <w:rsid w:val="00C2069A"/>
    <w:rsid w:val="00C209FA"/>
    <w:rsid w:val="00C21933"/>
    <w:rsid w:val="00C2244B"/>
    <w:rsid w:val="00C22760"/>
    <w:rsid w:val="00C22796"/>
    <w:rsid w:val="00C22CFD"/>
    <w:rsid w:val="00C233A4"/>
    <w:rsid w:val="00C234B5"/>
    <w:rsid w:val="00C261EC"/>
    <w:rsid w:val="00C26D1F"/>
    <w:rsid w:val="00C302D0"/>
    <w:rsid w:val="00C30F62"/>
    <w:rsid w:val="00C319A5"/>
    <w:rsid w:val="00C3295E"/>
    <w:rsid w:val="00C34AAA"/>
    <w:rsid w:val="00C360D2"/>
    <w:rsid w:val="00C40084"/>
    <w:rsid w:val="00C42A82"/>
    <w:rsid w:val="00C42B1B"/>
    <w:rsid w:val="00C439B6"/>
    <w:rsid w:val="00C46772"/>
    <w:rsid w:val="00C47053"/>
    <w:rsid w:val="00C47119"/>
    <w:rsid w:val="00C50128"/>
    <w:rsid w:val="00C525A9"/>
    <w:rsid w:val="00C5319A"/>
    <w:rsid w:val="00C53413"/>
    <w:rsid w:val="00C539E6"/>
    <w:rsid w:val="00C559CD"/>
    <w:rsid w:val="00C561DB"/>
    <w:rsid w:val="00C57D5C"/>
    <w:rsid w:val="00C57DB4"/>
    <w:rsid w:val="00C60562"/>
    <w:rsid w:val="00C60B35"/>
    <w:rsid w:val="00C60ECA"/>
    <w:rsid w:val="00C62A64"/>
    <w:rsid w:val="00C6304B"/>
    <w:rsid w:val="00C65365"/>
    <w:rsid w:val="00C65D18"/>
    <w:rsid w:val="00C722C8"/>
    <w:rsid w:val="00C72C30"/>
    <w:rsid w:val="00C73A3A"/>
    <w:rsid w:val="00C74005"/>
    <w:rsid w:val="00C74501"/>
    <w:rsid w:val="00C7629C"/>
    <w:rsid w:val="00C777BF"/>
    <w:rsid w:val="00C8169D"/>
    <w:rsid w:val="00C83570"/>
    <w:rsid w:val="00C84706"/>
    <w:rsid w:val="00C84C3D"/>
    <w:rsid w:val="00C86775"/>
    <w:rsid w:val="00C86C62"/>
    <w:rsid w:val="00C877E8"/>
    <w:rsid w:val="00C90398"/>
    <w:rsid w:val="00C9051A"/>
    <w:rsid w:val="00C9055C"/>
    <w:rsid w:val="00C9211A"/>
    <w:rsid w:val="00C92D92"/>
    <w:rsid w:val="00C93017"/>
    <w:rsid w:val="00C9394D"/>
    <w:rsid w:val="00C94A13"/>
    <w:rsid w:val="00C95A0B"/>
    <w:rsid w:val="00C95B6D"/>
    <w:rsid w:val="00C969C3"/>
    <w:rsid w:val="00C97BF9"/>
    <w:rsid w:val="00C97D58"/>
    <w:rsid w:val="00CA0DCF"/>
    <w:rsid w:val="00CA1014"/>
    <w:rsid w:val="00CA1138"/>
    <w:rsid w:val="00CA172B"/>
    <w:rsid w:val="00CA1878"/>
    <w:rsid w:val="00CA272E"/>
    <w:rsid w:val="00CA365B"/>
    <w:rsid w:val="00CA46F9"/>
    <w:rsid w:val="00CA5F9D"/>
    <w:rsid w:val="00CA6819"/>
    <w:rsid w:val="00CA6FCC"/>
    <w:rsid w:val="00CA7540"/>
    <w:rsid w:val="00CB0854"/>
    <w:rsid w:val="00CB2283"/>
    <w:rsid w:val="00CB295A"/>
    <w:rsid w:val="00CB341F"/>
    <w:rsid w:val="00CB39AB"/>
    <w:rsid w:val="00CB4F51"/>
    <w:rsid w:val="00CB5813"/>
    <w:rsid w:val="00CC0A9A"/>
    <w:rsid w:val="00CC38D7"/>
    <w:rsid w:val="00CC4110"/>
    <w:rsid w:val="00CC4430"/>
    <w:rsid w:val="00CC4E32"/>
    <w:rsid w:val="00CC5C60"/>
    <w:rsid w:val="00CC7768"/>
    <w:rsid w:val="00CC7A4E"/>
    <w:rsid w:val="00CD03F6"/>
    <w:rsid w:val="00CD0808"/>
    <w:rsid w:val="00CD0B4A"/>
    <w:rsid w:val="00CD0BAF"/>
    <w:rsid w:val="00CD0E9A"/>
    <w:rsid w:val="00CD10EC"/>
    <w:rsid w:val="00CD3A22"/>
    <w:rsid w:val="00CD4DF5"/>
    <w:rsid w:val="00CE0001"/>
    <w:rsid w:val="00CE02F5"/>
    <w:rsid w:val="00CE036D"/>
    <w:rsid w:val="00CE22B8"/>
    <w:rsid w:val="00CE2465"/>
    <w:rsid w:val="00CE2684"/>
    <w:rsid w:val="00CE2F45"/>
    <w:rsid w:val="00CE3068"/>
    <w:rsid w:val="00CE3A72"/>
    <w:rsid w:val="00CE54C2"/>
    <w:rsid w:val="00CE6435"/>
    <w:rsid w:val="00CF21D5"/>
    <w:rsid w:val="00CF2417"/>
    <w:rsid w:val="00CF2829"/>
    <w:rsid w:val="00CF3162"/>
    <w:rsid w:val="00CF3B87"/>
    <w:rsid w:val="00CF3D91"/>
    <w:rsid w:val="00CF4D01"/>
    <w:rsid w:val="00D006A5"/>
    <w:rsid w:val="00D00AF5"/>
    <w:rsid w:val="00D0129A"/>
    <w:rsid w:val="00D021FC"/>
    <w:rsid w:val="00D02FDE"/>
    <w:rsid w:val="00D04F00"/>
    <w:rsid w:val="00D05012"/>
    <w:rsid w:val="00D05A5E"/>
    <w:rsid w:val="00D0629A"/>
    <w:rsid w:val="00D07080"/>
    <w:rsid w:val="00D07106"/>
    <w:rsid w:val="00D10971"/>
    <w:rsid w:val="00D13018"/>
    <w:rsid w:val="00D17568"/>
    <w:rsid w:val="00D20E60"/>
    <w:rsid w:val="00D22472"/>
    <w:rsid w:val="00D23157"/>
    <w:rsid w:val="00D23991"/>
    <w:rsid w:val="00D23ADD"/>
    <w:rsid w:val="00D24774"/>
    <w:rsid w:val="00D25267"/>
    <w:rsid w:val="00D25334"/>
    <w:rsid w:val="00D26601"/>
    <w:rsid w:val="00D27B74"/>
    <w:rsid w:val="00D31598"/>
    <w:rsid w:val="00D32C72"/>
    <w:rsid w:val="00D33264"/>
    <w:rsid w:val="00D33B81"/>
    <w:rsid w:val="00D3526E"/>
    <w:rsid w:val="00D360E8"/>
    <w:rsid w:val="00D3742E"/>
    <w:rsid w:val="00D400FB"/>
    <w:rsid w:val="00D40ED6"/>
    <w:rsid w:val="00D42716"/>
    <w:rsid w:val="00D43CA2"/>
    <w:rsid w:val="00D44E89"/>
    <w:rsid w:val="00D45970"/>
    <w:rsid w:val="00D45B4E"/>
    <w:rsid w:val="00D46E91"/>
    <w:rsid w:val="00D46EA2"/>
    <w:rsid w:val="00D4716D"/>
    <w:rsid w:val="00D5292D"/>
    <w:rsid w:val="00D529F8"/>
    <w:rsid w:val="00D54745"/>
    <w:rsid w:val="00D555A5"/>
    <w:rsid w:val="00D5567B"/>
    <w:rsid w:val="00D55B3E"/>
    <w:rsid w:val="00D5645B"/>
    <w:rsid w:val="00D6145C"/>
    <w:rsid w:val="00D61506"/>
    <w:rsid w:val="00D61D9A"/>
    <w:rsid w:val="00D63A02"/>
    <w:rsid w:val="00D66E21"/>
    <w:rsid w:val="00D679B9"/>
    <w:rsid w:val="00D679E6"/>
    <w:rsid w:val="00D67C8B"/>
    <w:rsid w:val="00D724E9"/>
    <w:rsid w:val="00D73C6D"/>
    <w:rsid w:val="00D74CC2"/>
    <w:rsid w:val="00D7540F"/>
    <w:rsid w:val="00D76F78"/>
    <w:rsid w:val="00D77F56"/>
    <w:rsid w:val="00D800E9"/>
    <w:rsid w:val="00D804A6"/>
    <w:rsid w:val="00D816E0"/>
    <w:rsid w:val="00D81A5D"/>
    <w:rsid w:val="00D83E03"/>
    <w:rsid w:val="00D8437D"/>
    <w:rsid w:val="00D853EA"/>
    <w:rsid w:val="00D8631C"/>
    <w:rsid w:val="00D86C36"/>
    <w:rsid w:val="00D86F2D"/>
    <w:rsid w:val="00D87597"/>
    <w:rsid w:val="00D878E1"/>
    <w:rsid w:val="00D92B15"/>
    <w:rsid w:val="00D932F2"/>
    <w:rsid w:val="00D94997"/>
    <w:rsid w:val="00D95409"/>
    <w:rsid w:val="00D96127"/>
    <w:rsid w:val="00D969FC"/>
    <w:rsid w:val="00D979D7"/>
    <w:rsid w:val="00DA217B"/>
    <w:rsid w:val="00DA30DA"/>
    <w:rsid w:val="00DA4484"/>
    <w:rsid w:val="00DA4861"/>
    <w:rsid w:val="00DA4E3C"/>
    <w:rsid w:val="00DA54BC"/>
    <w:rsid w:val="00DA5693"/>
    <w:rsid w:val="00DA6158"/>
    <w:rsid w:val="00DA6A64"/>
    <w:rsid w:val="00DA7D69"/>
    <w:rsid w:val="00DB1505"/>
    <w:rsid w:val="00DB2D21"/>
    <w:rsid w:val="00DB34C7"/>
    <w:rsid w:val="00DB708C"/>
    <w:rsid w:val="00DC031D"/>
    <w:rsid w:val="00DC0D67"/>
    <w:rsid w:val="00DC1723"/>
    <w:rsid w:val="00DC1868"/>
    <w:rsid w:val="00DC2164"/>
    <w:rsid w:val="00DC3032"/>
    <w:rsid w:val="00DC387B"/>
    <w:rsid w:val="00DC5456"/>
    <w:rsid w:val="00DC62C5"/>
    <w:rsid w:val="00DD02EC"/>
    <w:rsid w:val="00DD0AD0"/>
    <w:rsid w:val="00DD0E3D"/>
    <w:rsid w:val="00DD13F8"/>
    <w:rsid w:val="00DD2841"/>
    <w:rsid w:val="00DD2F31"/>
    <w:rsid w:val="00DD3208"/>
    <w:rsid w:val="00DD3248"/>
    <w:rsid w:val="00DD38BA"/>
    <w:rsid w:val="00DD5196"/>
    <w:rsid w:val="00DD5363"/>
    <w:rsid w:val="00DD5B0C"/>
    <w:rsid w:val="00DD6776"/>
    <w:rsid w:val="00DE0372"/>
    <w:rsid w:val="00DE152E"/>
    <w:rsid w:val="00DE1B47"/>
    <w:rsid w:val="00DE1CA0"/>
    <w:rsid w:val="00DE1D38"/>
    <w:rsid w:val="00DE2652"/>
    <w:rsid w:val="00DE2E16"/>
    <w:rsid w:val="00DE30C4"/>
    <w:rsid w:val="00DE4CD1"/>
    <w:rsid w:val="00DE4E0E"/>
    <w:rsid w:val="00DE53A7"/>
    <w:rsid w:val="00DE56E4"/>
    <w:rsid w:val="00DE626E"/>
    <w:rsid w:val="00DE62F8"/>
    <w:rsid w:val="00DF1AF8"/>
    <w:rsid w:val="00DF1F97"/>
    <w:rsid w:val="00DF208C"/>
    <w:rsid w:val="00DF237D"/>
    <w:rsid w:val="00DF260A"/>
    <w:rsid w:val="00DF2D03"/>
    <w:rsid w:val="00DF3A76"/>
    <w:rsid w:val="00DF5B32"/>
    <w:rsid w:val="00DF62FA"/>
    <w:rsid w:val="00DF76C7"/>
    <w:rsid w:val="00DF78EF"/>
    <w:rsid w:val="00E00769"/>
    <w:rsid w:val="00E012D5"/>
    <w:rsid w:val="00E016D7"/>
    <w:rsid w:val="00E01AFE"/>
    <w:rsid w:val="00E01E85"/>
    <w:rsid w:val="00E03A36"/>
    <w:rsid w:val="00E04178"/>
    <w:rsid w:val="00E045E8"/>
    <w:rsid w:val="00E046E7"/>
    <w:rsid w:val="00E0586F"/>
    <w:rsid w:val="00E05C4C"/>
    <w:rsid w:val="00E06CA9"/>
    <w:rsid w:val="00E06F34"/>
    <w:rsid w:val="00E07FCD"/>
    <w:rsid w:val="00E105F5"/>
    <w:rsid w:val="00E10EC6"/>
    <w:rsid w:val="00E10F6A"/>
    <w:rsid w:val="00E116E1"/>
    <w:rsid w:val="00E11854"/>
    <w:rsid w:val="00E12F79"/>
    <w:rsid w:val="00E14D84"/>
    <w:rsid w:val="00E15484"/>
    <w:rsid w:val="00E1552E"/>
    <w:rsid w:val="00E167C1"/>
    <w:rsid w:val="00E20F22"/>
    <w:rsid w:val="00E21205"/>
    <w:rsid w:val="00E216DE"/>
    <w:rsid w:val="00E22142"/>
    <w:rsid w:val="00E227A3"/>
    <w:rsid w:val="00E22A22"/>
    <w:rsid w:val="00E23180"/>
    <w:rsid w:val="00E241AF"/>
    <w:rsid w:val="00E256BA"/>
    <w:rsid w:val="00E25CEE"/>
    <w:rsid w:val="00E26222"/>
    <w:rsid w:val="00E262CA"/>
    <w:rsid w:val="00E2632E"/>
    <w:rsid w:val="00E26579"/>
    <w:rsid w:val="00E30739"/>
    <w:rsid w:val="00E313F6"/>
    <w:rsid w:val="00E32A02"/>
    <w:rsid w:val="00E32A85"/>
    <w:rsid w:val="00E32EBE"/>
    <w:rsid w:val="00E33FAF"/>
    <w:rsid w:val="00E3481D"/>
    <w:rsid w:val="00E3491B"/>
    <w:rsid w:val="00E36DBF"/>
    <w:rsid w:val="00E37549"/>
    <w:rsid w:val="00E40AEB"/>
    <w:rsid w:val="00E42F35"/>
    <w:rsid w:val="00E4480C"/>
    <w:rsid w:val="00E4542F"/>
    <w:rsid w:val="00E45622"/>
    <w:rsid w:val="00E45B58"/>
    <w:rsid w:val="00E46642"/>
    <w:rsid w:val="00E51BC3"/>
    <w:rsid w:val="00E54A2E"/>
    <w:rsid w:val="00E55D96"/>
    <w:rsid w:val="00E56672"/>
    <w:rsid w:val="00E568F2"/>
    <w:rsid w:val="00E56E79"/>
    <w:rsid w:val="00E608D4"/>
    <w:rsid w:val="00E616DC"/>
    <w:rsid w:val="00E61ECC"/>
    <w:rsid w:val="00E6218F"/>
    <w:rsid w:val="00E644DA"/>
    <w:rsid w:val="00E64F4B"/>
    <w:rsid w:val="00E652BC"/>
    <w:rsid w:val="00E657D0"/>
    <w:rsid w:val="00E65E32"/>
    <w:rsid w:val="00E66AD4"/>
    <w:rsid w:val="00E6792B"/>
    <w:rsid w:val="00E71425"/>
    <w:rsid w:val="00E71D5B"/>
    <w:rsid w:val="00E71F88"/>
    <w:rsid w:val="00E729DC"/>
    <w:rsid w:val="00E732F2"/>
    <w:rsid w:val="00E75FA0"/>
    <w:rsid w:val="00E772E6"/>
    <w:rsid w:val="00E80099"/>
    <w:rsid w:val="00E81490"/>
    <w:rsid w:val="00E816BF"/>
    <w:rsid w:val="00E81F50"/>
    <w:rsid w:val="00E82551"/>
    <w:rsid w:val="00E847CA"/>
    <w:rsid w:val="00E84826"/>
    <w:rsid w:val="00E84A4E"/>
    <w:rsid w:val="00E851FC"/>
    <w:rsid w:val="00E8533E"/>
    <w:rsid w:val="00E87E93"/>
    <w:rsid w:val="00E87F9C"/>
    <w:rsid w:val="00E911A8"/>
    <w:rsid w:val="00E91295"/>
    <w:rsid w:val="00E91AD5"/>
    <w:rsid w:val="00E93252"/>
    <w:rsid w:val="00E94EE7"/>
    <w:rsid w:val="00E95320"/>
    <w:rsid w:val="00E9538C"/>
    <w:rsid w:val="00EA08D7"/>
    <w:rsid w:val="00EA2217"/>
    <w:rsid w:val="00EA2767"/>
    <w:rsid w:val="00EA4DFA"/>
    <w:rsid w:val="00EA56B7"/>
    <w:rsid w:val="00EA5D39"/>
    <w:rsid w:val="00EA7465"/>
    <w:rsid w:val="00EA768F"/>
    <w:rsid w:val="00EB1143"/>
    <w:rsid w:val="00EB4180"/>
    <w:rsid w:val="00EB4BCE"/>
    <w:rsid w:val="00EB52B6"/>
    <w:rsid w:val="00EB624B"/>
    <w:rsid w:val="00EB721A"/>
    <w:rsid w:val="00EC1B66"/>
    <w:rsid w:val="00EC563C"/>
    <w:rsid w:val="00EC5930"/>
    <w:rsid w:val="00EC6508"/>
    <w:rsid w:val="00EC689A"/>
    <w:rsid w:val="00EC77F3"/>
    <w:rsid w:val="00ED0855"/>
    <w:rsid w:val="00ED10BC"/>
    <w:rsid w:val="00ED1115"/>
    <w:rsid w:val="00ED1166"/>
    <w:rsid w:val="00ED1EA3"/>
    <w:rsid w:val="00ED2B34"/>
    <w:rsid w:val="00ED45F2"/>
    <w:rsid w:val="00ED5F16"/>
    <w:rsid w:val="00ED64F6"/>
    <w:rsid w:val="00EE0003"/>
    <w:rsid w:val="00EE29D7"/>
    <w:rsid w:val="00EE2A56"/>
    <w:rsid w:val="00EE2F55"/>
    <w:rsid w:val="00EE37A5"/>
    <w:rsid w:val="00EE533C"/>
    <w:rsid w:val="00EE61AB"/>
    <w:rsid w:val="00EE7A51"/>
    <w:rsid w:val="00EF1390"/>
    <w:rsid w:val="00EF205B"/>
    <w:rsid w:val="00EF2926"/>
    <w:rsid w:val="00EF3F43"/>
    <w:rsid w:val="00EF5CEE"/>
    <w:rsid w:val="00EF6E8F"/>
    <w:rsid w:val="00EF757F"/>
    <w:rsid w:val="00F00797"/>
    <w:rsid w:val="00F00873"/>
    <w:rsid w:val="00F01727"/>
    <w:rsid w:val="00F020C5"/>
    <w:rsid w:val="00F029CF"/>
    <w:rsid w:val="00F02D71"/>
    <w:rsid w:val="00F02DA0"/>
    <w:rsid w:val="00F037A1"/>
    <w:rsid w:val="00F03D0B"/>
    <w:rsid w:val="00F04417"/>
    <w:rsid w:val="00F053AC"/>
    <w:rsid w:val="00F07DBB"/>
    <w:rsid w:val="00F110C3"/>
    <w:rsid w:val="00F12C7A"/>
    <w:rsid w:val="00F12F80"/>
    <w:rsid w:val="00F12FCD"/>
    <w:rsid w:val="00F1323F"/>
    <w:rsid w:val="00F14428"/>
    <w:rsid w:val="00F14631"/>
    <w:rsid w:val="00F14FC9"/>
    <w:rsid w:val="00F161E6"/>
    <w:rsid w:val="00F167F2"/>
    <w:rsid w:val="00F17771"/>
    <w:rsid w:val="00F20956"/>
    <w:rsid w:val="00F20D5E"/>
    <w:rsid w:val="00F21963"/>
    <w:rsid w:val="00F23637"/>
    <w:rsid w:val="00F23819"/>
    <w:rsid w:val="00F23A7D"/>
    <w:rsid w:val="00F24B7E"/>
    <w:rsid w:val="00F259E4"/>
    <w:rsid w:val="00F260D1"/>
    <w:rsid w:val="00F270DD"/>
    <w:rsid w:val="00F27990"/>
    <w:rsid w:val="00F27CB2"/>
    <w:rsid w:val="00F31145"/>
    <w:rsid w:val="00F31A21"/>
    <w:rsid w:val="00F32044"/>
    <w:rsid w:val="00F3303E"/>
    <w:rsid w:val="00F33253"/>
    <w:rsid w:val="00F3382E"/>
    <w:rsid w:val="00F36186"/>
    <w:rsid w:val="00F367E9"/>
    <w:rsid w:val="00F3734B"/>
    <w:rsid w:val="00F41B26"/>
    <w:rsid w:val="00F42EEA"/>
    <w:rsid w:val="00F451DA"/>
    <w:rsid w:val="00F46660"/>
    <w:rsid w:val="00F50636"/>
    <w:rsid w:val="00F52024"/>
    <w:rsid w:val="00F545FC"/>
    <w:rsid w:val="00F54AB2"/>
    <w:rsid w:val="00F55A0C"/>
    <w:rsid w:val="00F562E1"/>
    <w:rsid w:val="00F56DF8"/>
    <w:rsid w:val="00F57D77"/>
    <w:rsid w:val="00F57EB4"/>
    <w:rsid w:val="00F602A2"/>
    <w:rsid w:val="00F60482"/>
    <w:rsid w:val="00F624D8"/>
    <w:rsid w:val="00F64E04"/>
    <w:rsid w:val="00F7258A"/>
    <w:rsid w:val="00F72D18"/>
    <w:rsid w:val="00F73F6F"/>
    <w:rsid w:val="00F7451A"/>
    <w:rsid w:val="00F74655"/>
    <w:rsid w:val="00F75623"/>
    <w:rsid w:val="00F76ACE"/>
    <w:rsid w:val="00F810CE"/>
    <w:rsid w:val="00F82B31"/>
    <w:rsid w:val="00F84762"/>
    <w:rsid w:val="00F85996"/>
    <w:rsid w:val="00F85A36"/>
    <w:rsid w:val="00F85C3B"/>
    <w:rsid w:val="00F862A9"/>
    <w:rsid w:val="00F868DB"/>
    <w:rsid w:val="00F8692A"/>
    <w:rsid w:val="00F86BE7"/>
    <w:rsid w:val="00F87BF8"/>
    <w:rsid w:val="00F87FF1"/>
    <w:rsid w:val="00F909D7"/>
    <w:rsid w:val="00F90AC9"/>
    <w:rsid w:val="00F91684"/>
    <w:rsid w:val="00F92B92"/>
    <w:rsid w:val="00F941DB"/>
    <w:rsid w:val="00F959A1"/>
    <w:rsid w:val="00F95A88"/>
    <w:rsid w:val="00F95EA9"/>
    <w:rsid w:val="00F96A51"/>
    <w:rsid w:val="00F978B0"/>
    <w:rsid w:val="00F97BC7"/>
    <w:rsid w:val="00F97BD9"/>
    <w:rsid w:val="00FA07C2"/>
    <w:rsid w:val="00FA0C7A"/>
    <w:rsid w:val="00FA1012"/>
    <w:rsid w:val="00FA27FF"/>
    <w:rsid w:val="00FA2A37"/>
    <w:rsid w:val="00FA34F4"/>
    <w:rsid w:val="00FA4460"/>
    <w:rsid w:val="00FA4EB4"/>
    <w:rsid w:val="00FA6239"/>
    <w:rsid w:val="00FA6763"/>
    <w:rsid w:val="00FA6A26"/>
    <w:rsid w:val="00FA6C10"/>
    <w:rsid w:val="00FA7DEC"/>
    <w:rsid w:val="00FB0532"/>
    <w:rsid w:val="00FB1BFB"/>
    <w:rsid w:val="00FB256C"/>
    <w:rsid w:val="00FB3D8D"/>
    <w:rsid w:val="00FB41A1"/>
    <w:rsid w:val="00FB5C3D"/>
    <w:rsid w:val="00FB606A"/>
    <w:rsid w:val="00FB614C"/>
    <w:rsid w:val="00FB682E"/>
    <w:rsid w:val="00FB6E81"/>
    <w:rsid w:val="00FB7807"/>
    <w:rsid w:val="00FB78BD"/>
    <w:rsid w:val="00FC05DB"/>
    <w:rsid w:val="00FC0C9E"/>
    <w:rsid w:val="00FC20E0"/>
    <w:rsid w:val="00FC2BE0"/>
    <w:rsid w:val="00FC3B65"/>
    <w:rsid w:val="00FC3D2F"/>
    <w:rsid w:val="00FC3FC5"/>
    <w:rsid w:val="00FC4755"/>
    <w:rsid w:val="00FC5461"/>
    <w:rsid w:val="00FC5F64"/>
    <w:rsid w:val="00FC77CD"/>
    <w:rsid w:val="00FD23FC"/>
    <w:rsid w:val="00FD3301"/>
    <w:rsid w:val="00FD4524"/>
    <w:rsid w:val="00FD5B41"/>
    <w:rsid w:val="00FD5F29"/>
    <w:rsid w:val="00FD6025"/>
    <w:rsid w:val="00FD6A38"/>
    <w:rsid w:val="00FD70E7"/>
    <w:rsid w:val="00FD7886"/>
    <w:rsid w:val="00FD79C4"/>
    <w:rsid w:val="00FE15C7"/>
    <w:rsid w:val="00FE2596"/>
    <w:rsid w:val="00FE363F"/>
    <w:rsid w:val="00FE3BF5"/>
    <w:rsid w:val="00FE4CD7"/>
    <w:rsid w:val="00FE4E51"/>
    <w:rsid w:val="00FE543B"/>
    <w:rsid w:val="00FF03F6"/>
    <w:rsid w:val="00FF15C6"/>
    <w:rsid w:val="00FF2264"/>
    <w:rsid w:val="00FF2980"/>
    <w:rsid w:val="00FF6EF0"/>
    <w:rsid w:val="015B2984"/>
    <w:rsid w:val="019A6F3D"/>
    <w:rsid w:val="01AE2C7A"/>
    <w:rsid w:val="01B96EA2"/>
    <w:rsid w:val="02564293"/>
    <w:rsid w:val="028745D1"/>
    <w:rsid w:val="03CC508B"/>
    <w:rsid w:val="03E44249"/>
    <w:rsid w:val="048402BB"/>
    <w:rsid w:val="048C0759"/>
    <w:rsid w:val="05220AD9"/>
    <w:rsid w:val="05992ABB"/>
    <w:rsid w:val="06886E02"/>
    <w:rsid w:val="06C12833"/>
    <w:rsid w:val="06FD6897"/>
    <w:rsid w:val="070E493E"/>
    <w:rsid w:val="07377B5A"/>
    <w:rsid w:val="07510FA6"/>
    <w:rsid w:val="077E24FD"/>
    <w:rsid w:val="081B605B"/>
    <w:rsid w:val="08486DD6"/>
    <w:rsid w:val="08512D22"/>
    <w:rsid w:val="08590BDF"/>
    <w:rsid w:val="08611E8A"/>
    <w:rsid w:val="08B82428"/>
    <w:rsid w:val="091715B7"/>
    <w:rsid w:val="094643FF"/>
    <w:rsid w:val="09A7481D"/>
    <w:rsid w:val="09C639A5"/>
    <w:rsid w:val="0ABB4FA6"/>
    <w:rsid w:val="0B252BF0"/>
    <w:rsid w:val="0B9E7ABD"/>
    <w:rsid w:val="0C2067FC"/>
    <w:rsid w:val="0C47321C"/>
    <w:rsid w:val="0C7C68CF"/>
    <w:rsid w:val="0D003189"/>
    <w:rsid w:val="0DE75E32"/>
    <w:rsid w:val="0E074AA3"/>
    <w:rsid w:val="0E300BE9"/>
    <w:rsid w:val="0E400A86"/>
    <w:rsid w:val="0EDB55C9"/>
    <w:rsid w:val="0EE95028"/>
    <w:rsid w:val="0F4136E7"/>
    <w:rsid w:val="0FA155DA"/>
    <w:rsid w:val="10230299"/>
    <w:rsid w:val="1061766B"/>
    <w:rsid w:val="107F354A"/>
    <w:rsid w:val="109C1FD0"/>
    <w:rsid w:val="109E0E92"/>
    <w:rsid w:val="10B430B7"/>
    <w:rsid w:val="1153542F"/>
    <w:rsid w:val="120E71F1"/>
    <w:rsid w:val="129C251E"/>
    <w:rsid w:val="12A14F42"/>
    <w:rsid w:val="12DC7289"/>
    <w:rsid w:val="12FD7BFF"/>
    <w:rsid w:val="136754EF"/>
    <w:rsid w:val="136E3E13"/>
    <w:rsid w:val="139F19AA"/>
    <w:rsid w:val="13EE3196"/>
    <w:rsid w:val="13F64E9D"/>
    <w:rsid w:val="14684B57"/>
    <w:rsid w:val="14C63BC3"/>
    <w:rsid w:val="14C73E51"/>
    <w:rsid w:val="14EC2EB0"/>
    <w:rsid w:val="152B3882"/>
    <w:rsid w:val="15513E92"/>
    <w:rsid w:val="15632B2F"/>
    <w:rsid w:val="15A135AA"/>
    <w:rsid w:val="15D84D6C"/>
    <w:rsid w:val="15D852CC"/>
    <w:rsid w:val="15FB6143"/>
    <w:rsid w:val="167E667D"/>
    <w:rsid w:val="169B7A9C"/>
    <w:rsid w:val="175B0990"/>
    <w:rsid w:val="17B41130"/>
    <w:rsid w:val="181E4461"/>
    <w:rsid w:val="183257E6"/>
    <w:rsid w:val="183876B0"/>
    <w:rsid w:val="18B37219"/>
    <w:rsid w:val="19024089"/>
    <w:rsid w:val="190F5ADC"/>
    <w:rsid w:val="195A081D"/>
    <w:rsid w:val="195E10BC"/>
    <w:rsid w:val="19634117"/>
    <w:rsid w:val="19B87C70"/>
    <w:rsid w:val="19CF7D4A"/>
    <w:rsid w:val="19FB26BE"/>
    <w:rsid w:val="1A134A55"/>
    <w:rsid w:val="1A767A2B"/>
    <w:rsid w:val="1B0D010D"/>
    <w:rsid w:val="1B3D38B3"/>
    <w:rsid w:val="1BFD7883"/>
    <w:rsid w:val="1C0670D8"/>
    <w:rsid w:val="1C6E08C3"/>
    <w:rsid w:val="1C7B28EA"/>
    <w:rsid w:val="1CC96638"/>
    <w:rsid w:val="1D32071F"/>
    <w:rsid w:val="1D327957"/>
    <w:rsid w:val="1D640857"/>
    <w:rsid w:val="1DC652F4"/>
    <w:rsid w:val="1E8C7220"/>
    <w:rsid w:val="1EB14A66"/>
    <w:rsid w:val="1F112FC9"/>
    <w:rsid w:val="1F21541F"/>
    <w:rsid w:val="1F4F0842"/>
    <w:rsid w:val="21320A3E"/>
    <w:rsid w:val="219A573C"/>
    <w:rsid w:val="21FF7B9D"/>
    <w:rsid w:val="22124BCC"/>
    <w:rsid w:val="221F2DB7"/>
    <w:rsid w:val="228C13EE"/>
    <w:rsid w:val="23364ECD"/>
    <w:rsid w:val="235A3204"/>
    <w:rsid w:val="23656CA9"/>
    <w:rsid w:val="23C7621F"/>
    <w:rsid w:val="23CC032E"/>
    <w:rsid w:val="241A74C9"/>
    <w:rsid w:val="249B74C1"/>
    <w:rsid w:val="24AA69CB"/>
    <w:rsid w:val="253015AE"/>
    <w:rsid w:val="264A43B2"/>
    <w:rsid w:val="2650160C"/>
    <w:rsid w:val="26A15FD4"/>
    <w:rsid w:val="26D270BD"/>
    <w:rsid w:val="27844426"/>
    <w:rsid w:val="278C574A"/>
    <w:rsid w:val="27FD501C"/>
    <w:rsid w:val="287607DD"/>
    <w:rsid w:val="28C61FBF"/>
    <w:rsid w:val="2901760E"/>
    <w:rsid w:val="294E0EA1"/>
    <w:rsid w:val="2A6718BE"/>
    <w:rsid w:val="2B9E242B"/>
    <w:rsid w:val="2BF46B0A"/>
    <w:rsid w:val="2C91683D"/>
    <w:rsid w:val="2C9C446B"/>
    <w:rsid w:val="2CD629C2"/>
    <w:rsid w:val="2D041811"/>
    <w:rsid w:val="2D79244F"/>
    <w:rsid w:val="2DCA16B3"/>
    <w:rsid w:val="2E0519A5"/>
    <w:rsid w:val="2E5D0541"/>
    <w:rsid w:val="2E86345E"/>
    <w:rsid w:val="2E8B64A8"/>
    <w:rsid w:val="2F5A0B8C"/>
    <w:rsid w:val="304107B9"/>
    <w:rsid w:val="31735E9B"/>
    <w:rsid w:val="31826FF0"/>
    <w:rsid w:val="32030DD5"/>
    <w:rsid w:val="32D9736A"/>
    <w:rsid w:val="33116A3F"/>
    <w:rsid w:val="33987044"/>
    <w:rsid w:val="33D903FC"/>
    <w:rsid w:val="33E23EDA"/>
    <w:rsid w:val="34B8390E"/>
    <w:rsid w:val="34D257A9"/>
    <w:rsid w:val="35834A16"/>
    <w:rsid w:val="35A70BEA"/>
    <w:rsid w:val="36545DC1"/>
    <w:rsid w:val="372178C4"/>
    <w:rsid w:val="37560159"/>
    <w:rsid w:val="37A6214D"/>
    <w:rsid w:val="3891636C"/>
    <w:rsid w:val="38D96E75"/>
    <w:rsid w:val="3936053F"/>
    <w:rsid w:val="39807B71"/>
    <w:rsid w:val="398B164B"/>
    <w:rsid w:val="39F377DD"/>
    <w:rsid w:val="3A53543B"/>
    <w:rsid w:val="3A7F38D0"/>
    <w:rsid w:val="3BCB63BA"/>
    <w:rsid w:val="3C6B2E59"/>
    <w:rsid w:val="3DA428C1"/>
    <w:rsid w:val="3DAE6C5D"/>
    <w:rsid w:val="3DCB78F5"/>
    <w:rsid w:val="3EA77D2A"/>
    <w:rsid w:val="3F5C0A38"/>
    <w:rsid w:val="3F7B0B34"/>
    <w:rsid w:val="3F9235D0"/>
    <w:rsid w:val="3FDF0194"/>
    <w:rsid w:val="404A12F3"/>
    <w:rsid w:val="40DF6490"/>
    <w:rsid w:val="40E95FA7"/>
    <w:rsid w:val="4105176F"/>
    <w:rsid w:val="41150AD3"/>
    <w:rsid w:val="4131108D"/>
    <w:rsid w:val="41D22C58"/>
    <w:rsid w:val="421B5F02"/>
    <w:rsid w:val="42233E81"/>
    <w:rsid w:val="42850FE8"/>
    <w:rsid w:val="42D74EA1"/>
    <w:rsid w:val="430134CC"/>
    <w:rsid w:val="434B1218"/>
    <w:rsid w:val="449358B7"/>
    <w:rsid w:val="44AA1549"/>
    <w:rsid w:val="45130581"/>
    <w:rsid w:val="451751A8"/>
    <w:rsid w:val="457858A1"/>
    <w:rsid w:val="45C0691B"/>
    <w:rsid w:val="466673D7"/>
    <w:rsid w:val="46FC1C09"/>
    <w:rsid w:val="47551A4A"/>
    <w:rsid w:val="478A6E4E"/>
    <w:rsid w:val="48032449"/>
    <w:rsid w:val="48CE257A"/>
    <w:rsid w:val="491F4518"/>
    <w:rsid w:val="493E7B89"/>
    <w:rsid w:val="49624BD8"/>
    <w:rsid w:val="49676F1A"/>
    <w:rsid w:val="49735DC9"/>
    <w:rsid w:val="49806C33"/>
    <w:rsid w:val="4A0A15A3"/>
    <w:rsid w:val="4A4C1DAB"/>
    <w:rsid w:val="4A9554BA"/>
    <w:rsid w:val="4AB679FD"/>
    <w:rsid w:val="4B154772"/>
    <w:rsid w:val="4B3F7250"/>
    <w:rsid w:val="4B570F17"/>
    <w:rsid w:val="4B7A6FAB"/>
    <w:rsid w:val="4BDF544A"/>
    <w:rsid w:val="4C632CF3"/>
    <w:rsid w:val="4C667398"/>
    <w:rsid w:val="4D0E634E"/>
    <w:rsid w:val="4DB11A6F"/>
    <w:rsid w:val="4DD10931"/>
    <w:rsid w:val="4E39001F"/>
    <w:rsid w:val="4E593A91"/>
    <w:rsid w:val="4E8E5F76"/>
    <w:rsid w:val="4EDF55C6"/>
    <w:rsid w:val="4EE6603C"/>
    <w:rsid w:val="4F5756D2"/>
    <w:rsid w:val="4FF1305E"/>
    <w:rsid w:val="50031ABE"/>
    <w:rsid w:val="502C4470"/>
    <w:rsid w:val="504A1185"/>
    <w:rsid w:val="50774975"/>
    <w:rsid w:val="50F13FFC"/>
    <w:rsid w:val="51347B82"/>
    <w:rsid w:val="5216585A"/>
    <w:rsid w:val="525A0319"/>
    <w:rsid w:val="525D5BB8"/>
    <w:rsid w:val="528462EA"/>
    <w:rsid w:val="52A00A5B"/>
    <w:rsid w:val="52F85548"/>
    <w:rsid w:val="53D03E7D"/>
    <w:rsid w:val="541E59A9"/>
    <w:rsid w:val="54206C8D"/>
    <w:rsid w:val="54240471"/>
    <w:rsid w:val="542D6053"/>
    <w:rsid w:val="54574FF5"/>
    <w:rsid w:val="54C755EB"/>
    <w:rsid w:val="54D4181A"/>
    <w:rsid w:val="54E12612"/>
    <w:rsid w:val="55415FE5"/>
    <w:rsid w:val="556A79B5"/>
    <w:rsid w:val="5570224B"/>
    <w:rsid w:val="55C6150E"/>
    <w:rsid w:val="56092404"/>
    <w:rsid w:val="56A5239A"/>
    <w:rsid w:val="579D229E"/>
    <w:rsid w:val="584150AB"/>
    <w:rsid w:val="58632F13"/>
    <w:rsid w:val="587869F1"/>
    <w:rsid w:val="588241AF"/>
    <w:rsid w:val="58BB1CC0"/>
    <w:rsid w:val="58D66F31"/>
    <w:rsid w:val="594B49AD"/>
    <w:rsid w:val="594D4CE7"/>
    <w:rsid w:val="59A154FF"/>
    <w:rsid w:val="5A231F4D"/>
    <w:rsid w:val="5A9001BC"/>
    <w:rsid w:val="5A952E3E"/>
    <w:rsid w:val="5B4F5D0E"/>
    <w:rsid w:val="5C2A676A"/>
    <w:rsid w:val="5C2D46A0"/>
    <w:rsid w:val="5C340094"/>
    <w:rsid w:val="5C573FCF"/>
    <w:rsid w:val="5CCD7E79"/>
    <w:rsid w:val="5CD22414"/>
    <w:rsid w:val="5D11307D"/>
    <w:rsid w:val="5D512CEC"/>
    <w:rsid w:val="5D861DAC"/>
    <w:rsid w:val="5DC36A68"/>
    <w:rsid w:val="5DE510AD"/>
    <w:rsid w:val="5E6A1658"/>
    <w:rsid w:val="5EAB5B7D"/>
    <w:rsid w:val="5ED42CD4"/>
    <w:rsid w:val="5ED81A61"/>
    <w:rsid w:val="5EFF66CE"/>
    <w:rsid w:val="5F3B2BFE"/>
    <w:rsid w:val="5F755C77"/>
    <w:rsid w:val="60382179"/>
    <w:rsid w:val="604C0717"/>
    <w:rsid w:val="60B20A35"/>
    <w:rsid w:val="60CA03C6"/>
    <w:rsid w:val="60CE7CA2"/>
    <w:rsid w:val="611E554B"/>
    <w:rsid w:val="616E4C3D"/>
    <w:rsid w:val="61B44F52"/>
    <w:rsid w:val="62113906"/>
    <w:rsid w:val="62762918"/>
    <w:rsid w:val="629316AA"/>
    <w:rsid w:val="632217A9"/>
    <w:rsid w:val="63735D9B"/>
    <w:rsid w:val="640F3BE7"/>
    <w:rsid w:val="64263471"/>
    <w:rsid w:val="64341CD3"/>
    <w:rsid w:val="647C0989"/>
    <w:rsid w:val="64D82AF7"/>
    <w:rsid w:val="64E377DC"/>
    <w:rsid w:val="65346012"/>
    <w:rsid w:val="65470EBF"/>
    <w:rsid w:val="655E06B3"/>
    <w:rsid w:val="657F4D97"/>
    <w:rsid w:val="65D43C7B"/>
    <w:rsid w:val="66205429"/>
    <w:rsid w:val="663E058B"/>
    <w:rsid w:val="665A28C3"/>
    <w:rsid w:val="665B3615"/>
    <w:rsid w:val="6678094A"/>
    <w:rsid w:val="66DE5245"/>
    <w:rsid w:val="673477E0"/>
    <w:rsid w:val="67361974"/>
    <w:rsid w:val="676033D9"/>
    <w:rsid w:val="67E14D97"/>
    <w:rsid w:val="682F1369"/>
    <w:rsid w:val="684D2509"/>
    <w:rsid w:val="687A537D"/>
    <w:rsid w:val="68C55638"/>
    <w:rsid w:val="69747ED0"/>
    <w:rsid w:val="69765004"/>
    <w:rsid w:val="69AA3B41"/>
    <w:rsid w:val="69C27E33"/>
    <w:rsid w:val="69CA4DB3"/>
    <w:rsid w:val="69E735A0"/>
    <w:rsid w:val="69EB2621"/>
    <w:rsid w:val="69FF321C"/>
    <w:rsid w:val="6A1C7CBF"/>
    <w:rsid w:val="6A3742C5"/>
    <w:rsid w:val="6AD16538"/>
    <w:rsid w:val="6B597F7B"/>
    <w:rsid w:val="6B7003DC"/>
    <w:rsid w:val="6BD15320"/>
    <w:rsid w:val="6BF839EC"/>
    <w:rsid w:val="6BF85325"/>
    <w:rsid w:val="6C006039"/>
    <w:rsid w:val="6C4E739C"/>
    <w:rsid w:val="6C866AC0"/>
    <w:rsid w:val="6CE95DCB"/>
    <w:rsid w:val="6D6516B2"/>
    <w:rsid w:val="6D7A6B7C"/>
    <w:rsid w:val="6D84027B"/>
    <w:rsid w:val="6DCF4D7C"/>
    <w:rsid w:val="6E3304D7"/>
    <w:rsid w:val="6E7E672D"/>
    <w:rsid w:val="6ECA6BBD"/>
    <w:rsid w:val="6EF369ED"/>
    <w:rsid w:val="6F004970"/>
    <w:rsid w:val="6F1163A5"/>
    <w:rsid w:val="6F750292"/>
    <w:rsid w:val="6F91565C"/>
    <w:rsid w:val="6FB500FC"/>
    <w:rsid w:val="6FC13E61"/>
    <w:rsid w:val="70501707"/>
    <w:rsid w:val="70543931"/>
    <w:rsid w:val="706A5676"/>
    <w:rsid w:val="70E84C65"/>
    <w:rsid w:val="71234846"/>
    <w:rsid w:val="71713DB7"/>
    <w:rsid w:val="71795DB3"/>
    <w:rsid w:val="72581AA1"/>
    <w:rsid w:val="72A033BA"/>
    <w:rsid w:val="72E64249"/>
    <w:rsid w:val="72E710D7"/>
    <w:rsid w:val="732371ED"/>
    <w:rsid w:val="73886423"/>
    <w:rsid w:val="73BC0718"/>
    <w:rsid w:val="73C14060"/>
    <w:rsid w:val="73E95AA2"/>
    <w:rsid w:val="74CB76C5"/>
    <w:rsid w:val="752E3833"/>
    <w:rsid w:val="757467D2"/>
    <w:rsid w:val="75A13A93"/>
    <w:rsid w:val="75AD2873"/>
    <w:rsid w:val="75C24709"/>
    <w:rsid w:val="75ED4284"/>
    <w:rsid w:val="76544E03"/>
    <w:rsid w:val="76BE17EF"/>
    <w:rsid w:val="76EC7A44"/>
    <w:rsid w:val="76EF71BD"/>
    <w:rsid w:val="773D7257"/>
    <w:rsid w:val="77BB010E"/>
    <w:rsid w:val="77C96DEF"/>
    <w:rsid w:val="77F66083"/>
    <w:rsid w:val="78052CEA"/>
    <w:rsid w:val="787B15EF"/>
    <w:rsid w:val="789E3E71"/>
    <w:rsid w:val="78BA3283"/>
    <w:rsid w:val="78EE7542"/>
    <w:rsid w:val="790060EF"/>
    <w:rsid w:val="79530FA7"/>
    <w:rsid w:val="795534C5"/>
    <w:rsid w:val="79864D33"/>
    <w:rsid w:val="79C42C2F"/>
    <w:rsid w:val="79E9127F"/>
    <w:rsid w:val="7A611BB8"/>
    <w:rsid w:val="7A8611FC"/>
    <w:rsid w:val="7B7409C0"/>
    <w:rsid w:val="7B916C43"/>
    <w:rsid w:val="7C271C84"/>
    <w:rsid w:val="7D065423"/>
    <w:rsid w:val="7D8A641A"/>
    <w:rsid w:val="7D9A72E3"/>
    <w:rsid w:val="7E384595"/>
    <w:rsid w:val="7E4622F8"/>
    <w:rsid w:val="7E6714DE"/>
    <w:rsid w:val="7EC93304"/>
    <w:rsid w:val="7F607887"/>
    <w:rsid w:val="7F7E1B1B"/>
    <w:rsid w:val="7FAD7E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adjustRightInd w:val="0"/>
    </w:pPr>
    <w:rPr>
      <w:rFonts w:ascii="仿宋_GB2312" w:hAnsi="仿宋_GB2312" w:eastAsia="等线 Light" w:cs="Arial"/>
      <w:szCs w:val="22"/>
    </w:rPr>
  </w:style>
  <w:style w:type="paragraph" w:styleId="8">
    <w:name w:val="Normal Indent"/>
    <w:basedOn w:val="1"/>
    <w:link w:val="65"/>
    <w:qFormat/>
    <w:uiPriority w:val="0"/>
    <w:pPr>
      <w:ind w:firstLine="420"/>
    </w:p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1260"/>
      <w:jc w:val="left"/>
    </w:p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2"/>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66"/>
    <w:qFormat/>
    <w:uiPriority w:val="0"/>
    <w:rPr>
      <w:rFonts w:ascii="宋体" w:hAnsi="Courier New"/>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endnote text"/>
    <w:basedOn w:val="1"/>
    <w:qFormat/>
    <w:uiPriority w:val="0"/>
    <w:pPr>
      <w:snapToGrid w:val="0"/>
      <w:jc w:val="left"/>
    </w:pPr>
  </w:style>
  <w:style w:type="paragraph" w:styleId="29">
    <w:name w:val="Balloon Text"/>
    <w:basedOn w:val="1"/>
    <w:semiHidden/>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paragraph" w:styleId="43">
    <w:name w:val="annotation subject"/>
    <w:basedOn w:val="17"/>
    <w:next w:val="17"/>
    <w:semiHidden/>
    <w:qFormat/>
    <w:uiPriority w:val="0"/>
    <w:rPr>
      <w:b/>
      <w:bCs/>
    </w:rPr>
  </w:style>
  <w:style w:type="paragraph" w:styleId="44">
    <w:name w:val="Body Text First Indent"/>
    <w:basedOn w:val="19"/>
    <w:qFormat/>
    <w:uiPriority w:val="0"/>
    <w:pPr>
      <w:spacing w:line="360" w:lineRule="auto"/>
      <w:ind w:firstLine="200" w:firstLineChars="200"/>
    </w:pPr>
    <w:rPr>
      <w:rFonts w:ascii="仿宋_GB2312" w:eastAsia="仿宋_GB2312"/>
      <w:sz w:val="30"/>
      <w:szCs w:val="30"/>
    </w:rPr>
  </w:style>
  <w:style w:type="paragraph" w:styleId="45">
    <w:name w:val="Body Text First Indent 2"/>
    <w:basedOn w:val="20"/>
    <w:qFormat/>
    <w:uiPriority w:val="0"/>
    <w:pPr>
      <w:spacing w:line="360" w:lineRule="auto"/>
      <w:ind w:firstLine="420" w:firstLineChars="200"/>
    </w:pPr>
    <w:rPr>
      <w:rFonts w:ascii="宋体" w:hAnsi="宋体" w:eastAsia="宋体"/>
      <w:sz w:val="21"/>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555555"/>
      <w:u w:val="none"/>
    </w:rPr>
  </w:style>
  <w:style w:type="character" w:styleId="52">
    <w:name w:val="Hyperlink"/>
    <w:qFormat/>
    <w:uiPriority w:val="99"/>
    <w:rPr>
      <w:color w:val="555555"/>
      <w:u w:val="none"/>
    </w:rPr>
  </w:style>
  <w:style w:type="character" w:styleId="53">
    <w:name w:val="annotation reference"/>
    <w:basedOn w:val="48"/>
    <w:semiHidden/>
    <w:qFormat/>
    <w:uiPriority w:val="0"/>
    <w:rPr>
      <w:sz w:val="21"/>
      <w:szCs w:val="21"/>
    </w:rPr>
  </w:style>
  <w:style w:type="paragraph" w:customStyle="1" w:styleId="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6">
    <w:name w:val="二级目录 Char"/>
    <w:link w:val="57"/>
    <w:qFormat/>
    <w:uiPriority w:val="0"/>
    <w:rPr>
      <w:b/>
      <w:kern w:val="2"/>
      <w:sz w:val="30"/>
      <w:szCs w:val="28"/>
    </w:rPr>
  </w:style>
  <w:style w:type="paragraph" w:customStyle="1" w:styleId="57">
    <w:name w:val="二级目录"/>
    <w:next w:val="1"/>
    <w:link w:val="56"/>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58">
    <w:name w:val="font5 Char"/>
    <w:qFormat/>
    <w:uiPriority w:val="0"/>
    <w:rPr>
      <w:rFonts w:ascii="宋体" w:hAnsi="宋体" w:eastAsia="宋体"/>
      <w:sz w:val="28"/>
      <w:szCs w:val="28"/>
      <w:lang w:val="en-US" w:eastAsia="zh-CN" w:bidi="ar-SA"/>
    </w:rPr>
  </w:style>
  <w:style w:type="character" w:customStyle="1" w:styleId="59">
    <w:name w:val="列出段落 Char"/>
    <w:link w:val="60"/>
    <w:qFormat/>
    <w:locked/>
    <w:uiPriority w:val="0"/>
    <w:rPr>
      <w:rFonts w:ascii="Calibri" w:hAnsi="Calibri"/>
      <w:sz w:val="24"/>
      <w:szCs w:val="24"/>
      <w:lang w:eastAsia="en-US" w:bidi="en-US"/>
    </w:rPr>
  </w:style>
  <w:style w:type="paragraph" w:customStyle="1" w:styleId="60">
    <w:name w:val="列出段落1"/>
    <w:basedOn w:val="1"/>
    <w:next w:val="28"/>
    <w:link w:val="59"/>
    <w:qFormat/>
    <w:uiPriority w:val="0"/>
    <w:pPr>
      <w:widowControl/>
      <w:ind w:left="720"/>
      <w:contextualSpacing/>
      <w:jc w:val="left"/>
    </w:pPr>
    <w:rPr>
      <w:rFonts w:ascii="Calibri" w:hAnsi="Calibri"/>
      <w:kern w:val="0"/>
      <w:sz w:val="24"/>
      <w:szCs w:val="24"/>
      <w:lang w:eastAsia="en-US" w:bidi="en-US"/>
    </w:rPr>
  </w:style>
  <w:style w:type="character" w:customStyle="1" w:styleId="61">
    <w:name w:val="标题 3 字符"/>
    <w:link w:val="5"/>
    <w:qFormat/>
    <w:uiPriority w:val="0"/>
    <w:rPr>
      <w:rFonts w:eastAsia="宋体"/>
      <w:b/>
      <w:bCs/>
      <w:kern w:val="2"/>
      <w:sz w:val="32"/>
      <w:szCs w:val="32"/>
      <w:lang w:val="en-US" w:eastAsia="zh-CN" w:bidi="ar-SA"/>
    </w:rPr>
  </w:style>
  <w:style w:type="character" w:customStyle="1" w:styleId="62">
    <w:name w:val="文档结构图 字符"/>
    <w:link w:val="16"/>
    <w:qFormat/>
    <w:uiPriority w:val="0"/>
    <w:rPr>
      <w:rFonts w:eastAsia="宋体"/>
      <w:kern w:val="2"/>
      <w:sz w:val="21"/>
      <w:szCs w:val="21"/>
      <w:lang w:val="en-US" w:eastAsia="zh-CN" w:bidi="ar-SA"/>
    </w:rPr>
  </w:style>
  <w:style w:type="character" w:customStyle="1" w:styleId="63">
    <w:name w:val="Char Char Char Char Char"/>
    <w:link w:val="64"/>
    <w:qFormat/>
    <w:uiPriority w:val="0"/>
    <w:rPr>
      <w:rFonts w:ascii="Tahoma" w:hAnsi="Tahoma" w:eastAsia="宋体"/>
      <w:kern w:val="2"/>
      <w:sz w:val="24"/>
      <w:szCs w:val="24"/>
      <w:lang w:val="en-US" w:eastAsia="zh-CN" w:bidi="ar-SA"/>
    </w:rPr>
  </w:style>
  <w:style w:type="paragraph" w:customStyle="1" w:styleId="64">
    <w:name w:val="Char Char Char Char1"/>
    <w:basedOn w:val="16"/>
    <w:link w:val="63"/>
    <w:qFormat/>
    <w:uiPriority w:val="0"/>
    <w:pPr>
      <w:adjustRightInd w:val="0"/>
      <w:snapToGrid w:val="0"/>
      <w:spacing w:line="360" w:lineRule="auto"/>
    </w:pPr>
    <w:rPr>
      <w:rFonts w:ascii="Tahoma" w:hAnsi="Tahoma"/>
      <w:sz w:val="24"/>
      <w:szCs w:val="24"/>
    </w:rPr>
  </w:style>
  <w:style w:type="character" w:customStyle="1" w:styleId="65">
    <w:name w:val="正文缩进 字符"/>
    <w:link w:val="8"/>
    <w:qFormat/>
    <w:uiPriority w:val="0"/>
    <w:rPr>
      <w:kern w:val="2"/>
      <w:sz w:val="21"/>
      <w:szCs w:val="21"/>
    </w:rPr>
  </w:style>
  <w:style w:type="character" w:customStyle="1" w:styleId="66">
    <w:name w:val="纯文本 字符"/>
    <w:link w:val="24"/>
    <w:qFormat/>
    <w:locked/>
    <w:uiPriority w:val="0"/>
    <w:rPr>
      <w:rFonts w:ascii="宋体" w:hAnsi="Courier New" w:cs="Courier New"/>
      <w:kern w:val="2"/>
      <w:sz w:val="21"/>
      <w:szCs w:val="21"/>
    </w:rPr>
  </w:style>
  <w:style w:type="paragraph" w:customStyle="1" w:styleId="6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Body Text(ch)"/>
    <w:basedOn w:val="1"/>
    <w:next w:val="19"/>
    <w:qFormat/>
    <w:uiPriority w:val="0"/>
    <w:pPr>
      <w:spacing w:after="120"/>
    </w:pPr>
    <w:rPr>
      <w:rFonts w:ascii="宋体" w:hAnsi="Arial"/>
      <w:bCs/>
      <w:iCs/>
      <w:szCs w:val="24"/>
    </w:rPr>
  </w:style>
  <w:style w:type="paragraph" w:customStyle="1" w:styleId="6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7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2">
    <w:name w:val="Char"/>
    <w:basedOn w:val="1"/>
    <w:qFormat/>
    <w:uiPriority w:val="0"/>
    <w:pPr>
      <w:tabs>
        <w:tab w:val="left" w:pos="360"/>
      </w:tabs>
      <w:ind w:firstLine="200" w:firstLineChars="200"/>
    </w:pPr>
    <w:rPr>
      <w:sz w:val="28"/>
      <w:szCs w:val="30"/>
    </w:rPr>
  </w:style>
  <w:style w:type="paragraph" w:customStyle="1" w:styleId="7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Char Char Char Char Char Char Char Char Char Char"/>
    <w:basedOn w:val="1"/>
    <w:qFormat/>
    <w:uiPriority w:val="0"/>
    <w:pPr>
      <w:adjustRightInd w:val="0"/>
      <w:spacing w:line="360" w:lineRule="auto"/>
    </w:pPr>
    <w:rPr>
      <w:kern w:val="0"/>
      <w:sz w:val="24"/>
      <w:szCs w:val="20"/>
    </w:rPr>
  </w:style>
  <w:style w:type="paragraph" w:customStyle="1" w:styleId="75">
    <w:name w:val="table_1stline"/>
    <w:basedOn w:val="1"/>
    <w:qFormat/>
    <w:uiPriority w:val="0"/>
    <w:pPr>
      <w:widowControl/>
      <w:spacing w:before="120"/>
      <w:jc w:val="left"/>
    </w:pPr>
    <w:rPr>
      <w:bCs/>
      <w:kern w:val="0"/>
      <w:sz w:val="20"/>
      <w:szCs w:val="20"/>
      <w:lang w:val="de-DE" w:eastAsia="de-DE"/>
    </w:rPr>
  </w:style>
  <w:style w:type="paragraph" w:customStyle="1" w:styleId="7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7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styleId="78">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79">
    <w:name w:val="4"/>
    <w:basedOn w:val="1"/>
    <w:next w:val="36"/>
    <w:qFormat/>
    <w:uiPriority w:val="0"/>
    <w:pPr>
      <w:spacing w:line="360" w:lineRule="auto"/>
      <w:ind w:firstLine="420"/>
    </w:pPr>
    <w:rPr>
      <w:color w:val="FF0000"/>
      <w:sz w:val="24"/>
      <w:szCs w:val="24"/>
    </w:rPr>
  </w:style>
  <w:style w:type="paragraph" w:customStyle="1" w:styleId="8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5">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86">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7">
    <w:name w:val="Char Char Char Char"/>
    <w:basedOn w:val="16"/>
    <w:qFormat/>
    <w:uiPriority w:val="0"/>
    <w:pPr>
      <w:adjustRightInd w:val="0"/>
      <w:snapToGrid w:val="0"/>
      <w:spacing w:line="360" w:lineRule="auto"/>
    </w:pPr>
    <w:rPr>
      <w:rFonts w:ascii="Tahoma" w:hAnsi="Tahoma"/>
      <w:sz w:val="24"/>
      <w:szCs w:val="24"/>
    </w:rPr>
  </w:style>
  <w:style w:type="paragraph" w:customStyle="1" w:styleId="8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9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1">
    <w:name w:val="table_lines"/>
    <w:basedOn w:val="1"/>
    <w:qFormat/>
    <w:uiPriority w:val="0"/>
    <w:pPr>
      <w:widowControl/>
      <w:jc w:val="left"/>
    </w:pPr>
    <w:rPr>
      <w:kern w:val="0"/>
      <w:sz w:val="20"/>
      <w:szCs w:val="20"/>
      <w:lang w:val="de-DE" w:eastAsia="de-DE"/>
    </w:rPr>
  </w:style>
  <w:style w:type="paragraph" w:customStyle="1" w:styleId="9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9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4">
    <w:name w:val="Char1"/>
    <w:basedOn w:val="16"/>
    <w:qFormat/>
    <w:uiPriority w:val="0"/>
    <w:rPr>
      <w:rFonts w:ascii="Tahoma" w:hAnsi="Tahoma"/>
      <w:sz w:val="24"/>
      <w:szCs w:val="24"/>
    </w:rPr>
  </w:style>
  <w:style w:type="paragraph" w:customStyle="1" w:styleId="95">
    <w:name w:val="正文 A"/>
    <w:next w:val="54"/>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96">
    <w:name w:val="A 样式 正文"/>
    <w:basedOn w:val="1"/>
    <w:qFormat/>
    <w:uiPriority w:val="0"/>
    <w:pPr>
      <w:spacing w:line="360" w:lineRule="auto"/>
      <w:ind w:firstLine="480" w:firstLineChars="200"/>
    </w:pPr>
    <w:rPr>
      <w:rFonts w:ascii="宋体" w:hAnsi="宋体"/>
      <w:sz w:val="24"/>
      <w:szCs w:val="20"/>
    </w:rPr>
  </w:style>
  <w:style w:type="paragraph" w:customStyle="1" w:styleId="97">
    <w:name w:val="正文_模板"/>
    <w:basedOn w:val="1"/>
    <w:qFormat/>
    <w:uiPriority w:val="0"/>
    <w:pPr>
      <w:spacing w:line="360" w:lineRule="auto"/>
      <w:ind w:firstLine="200" w:firstLineChars="200"/>
    </w:pPr>
    <w:rPr>
      <w:rFonts w:ascii="Calibri" w:hAnsi="Calibri"/>
      <w:sz w:val="24"/>
      <w:szCs w:val="24"/>
    </w:rPr>
  </w:style>
  <w:style w:type="paragraph" w:customStyle="1" w:styleId="98">
    <w:name w:val="青海-正文-样式1"/>
    <w:basedOn w:val="1"/>
    <w:qFormat/>
    <w:uiPriority w:val="0"/>
    <w:pPr>
      <w:autoSpaceDE w:val="0"/>
      <w:autoSpaceDN w:val="0"/>
      <w:spacing w:line="360" w:lineRule="auto"/>
      <w:ind w:firstLine="480"/>
    </w:pPr>
    <w:rPr>
      <w:rFonts w:ascii="宋体" w:hAnsi="宋体" w:cs="宋体"/>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9A4E0-A040-47C5-B6BF-CA6162210CBF}">
  <ds:schemaRefs/>
</ds:datastoreItem>
</file>

<file path=docProps/app.xml><?xml version="1.0" encoding="utf-8"?>
<Properties xmlns="http://schemas.openxmlformats.org/officeDocument/2006/extended-properties" xmlns:vt="http://schemas.openxmlformats.org/officeDocument/2006/docPropsVTypes">
  <Template>Normal</Template>
  <Company>@  V2017/03/01</Company>
  <Pages>36</Pages>
  <Words>2617</Words>
  <Characters>14918</Characters>
  <Lines>124</Lines>
  <Paragraphs>34</Paragraphs>
  <TotalTime>9</TotalTime>
  <ScaleCrop>false</ScaleCrop>
  <LinksUpToDate>false</LinksUpToDate>
  <CharactersWithSpaces>17501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2020-12-16T03:25:00Z</dcterms:created>
  <dc:creator>政府采购中心</dc:creator>
  <cp:lastModifiedBy>有</cp:lastModifiedBy>
  <cp:lastPrinted>2021-05-06T00:25:00Z</cp:lastPrinted>
  <dcterms:modified xsi:type="dcterms:W3CDTF">2021-05-10T04:42:31Z</dcterms:modified>
  <dc:title>江苏卫生信息系统业务软件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