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bookmarkStart w:id="0" w:name="_GoBack"/>
      <w:bookmarkEnd w:id="0"/>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27</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化工单元CSTS虚拟现实3D仿真软件项目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化工单元CSTS虚拟现实3D仿真软件</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067"/>
        <w:gridCol w:w="450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序号</w:t>
            </w:r>
          </w:p>
        </w:tc>
        <w:tc>
          <w:tcPr>
            <w:tcW w:w="2088"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项目</w:t>
            </w:r>
          </w:p>
        </w:tc>
        <w:tc>
          <w:tcPr>
            <w:tcW w:w="4563"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技术参数</w:t>
            </w:r>
          </w:p>
        </w:tc>
        <w:tc>
          <w:tcPr>
            <w:tcW w:w="1338"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1</w:t>
            </w:r>
          </w:p>
        </w:tc>
        <w:tc>
          <w:tcPr>
            <w:tcW w:w="2088" w:type="dxa"/>
            <w:noWrap w:val="0"/>
            <w:vAlign w:val="center"/>
          </w:tcPr>
          <w:p>
            <w:pPr>
              <w:snapToGrid w:val="0"/>
              <w:spacing w:line="460" w:lineRule="exact"/>
              <w:jc w:val="center"/>
              <w:rPr>
                <w:rFonts w:hint="eastAsia" w:ascii="仿宋_GB2312" w:hAnsi="仿宋_GB2312" w:eastAsia="仿宋_GB2312" w:cs="仿宋_GB2312"/>
                <w:b w:val="0"/>
                <w:bCs w:val="0"/>
                <w:color w:val="000000"/>
                <w:sz w:val="28"/>
                <w:szCs w:val="28"/>
                <w:u w:val="none"/>
                <w:lang w:eastAsia="zh-CN"/>
              </w:rPr>
            </w:pPr>
            <w:r>
              <w:rPr>
                <w:rFonts w:hint="eastAsia" w:ascii="仿宋_GB2312" w:hAnsi="仿宋_GB2312" w:eastAsia="仿宋_GB2312" w:cs="仿宋_GB2312"/>
                <w:b w:val="0"/>
                <w:bCs w:val="0"/>
                <w:color w:val="000000"/>
                <w:sz w:val="28"/>
                <w:szCs w:val="28"/>
                <w:u w:val="none"/>
                <w:lang w:eastAsia="zh-CN"/>
              </w:rPr>
              <w:t>化工单元CSTS虚拟现实3D</w:t>
            </w:r>
          </w:p>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u w:val="none"/>
                <w:lang w:eastAsia="zh-CN"/>
              </w:rPr>
              <w:t>仿真软件</w:t>
            </w:r>
          </w:p>
        </w:tc>
        <w:tc>
          <w:tcPr>
            <w:tcW w:w="4563" w:type="dxa"/>
            <w:noWrap w:val="0"/>
            <w:vAlign w:val="center"/>
          </w:tcPr>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软件包含：</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1）精馏塔工艺3D仿真软件；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2）二氧化碳压缩机工艺3D仿真软件；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3）固定床反应器工艺3D仿真软件；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4）吸收-解吸工艺3D仿真软件；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5）管式加热炉工艺3D仿真软件；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6）间歇反应釜工艺3D仿真软件；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7）流化床反应器工艺3D仿真软件；</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8）离心泵单元3D仿真；</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9）罐区单元3D仿真；</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10）双塔精馏单元3D仿真；</w:t>
            </w:r>
          </w:p>
          <w:p>
            <w:pPr>
              <w:snapToGrid w:val="0"/>
              <w:spacing w:line="460" w:lineRule="exact"/>
              <w:jc w:val="both"/>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11）多效蒸发工艺3D仿真（1、至少包含10个常用的3D化工单元2、每个单元均需包括冷态开车，热态开车，正常停车，事故处理等培训内容3、软件涵盖设备拆装、经济成本分析、危险源辨识等模块，以培养学员全面的工程实践能力。）</w:t>
            </w:r>
          </w:p>
        </w:tc>
        <w:tc>
          <w:tcPr>
            <w:tcW w:w="1338"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p>
        </w:tc>
      </w:tr>
    </w:tbl>
    <w:p>
      <w:pPr>
        <w:snapToGrid w:val="0"/>
        <w:spacing w:line="46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备注：</w:t>
      </w:r>
    </w:p>
    <w:p>
      <w:pPr>
        <w:snapToGrid w:val="0"/>
        <w:spacing w:line="460" w:lineRule="exact"/>
        <w:ind w:firstLine="562" w:firstLineChars="200"/>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1、</w:t>
      </w:r>
      <w:r>
        <w:rPr>
          <w:rFonts w:hint="eastAsia" w:ascii="黑体" w:hAnsi="黑体" w:eastAsia="黑体" w:cs="黑体"/>
          <w:b/>
          <w:bCs/>
          <w:color w:val="000000"/>
          <w:sz w:val="28"/>
          <w:szCs w:val="28"/>
          <w:lang w:eastAsia="zh-CN"/>
        </w:rPr>
        <w:t>软件包含11个3D单元（52个站点）</w:t>
      </w:r>
      <w:r>
        <w:rPr>
          <w:rFonts w:hint="eastAsia" w:ascii="黑体" w:hAnsi="黑体" w:eastAsia="黑体" w:cs="黑体"/>
          <w:b/>
          <w:bCs/>
          <w:color w:val="000000"/>
          <w:sz w:val="28"/>
          <w:szCs w:val="28"/>
          <w:lang w:val="en-US" w:eastAsia="zh-CN"/>
        </w:rPr>
        <w:t>；</w:t>
      </w:r>
    </w:p>
    <w:p>
      <w:pPr>
        <w:snapToGrid w:val="0"/>
        <w:spacing w:line="46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val="en-US" w:eastAsia="zh-CN"/>
        </w:rPr>
        <w:t>2、</w:t>
      </w:r>
      <w:r>
        <w:rPr>
          <w:rFonts w:hint="eastAsia" w:ascii="黑体" w:hAnsi="黑体" w:eastAsia="黑体" w:cs="黑体"/>
          <w:b/>
          <w:bCs/>
          <w:color w:val="000000"/>
          <w:sz w:val="28"/>
          <w:szCs w:val="28"/>
          <w:lang w:eastAsia="zh-CN"/>
        </w:rPr>
        <w:t>一年质保，20年内免费系统升级维护；</w:t>
      </w:r>
    </w:p>
    <w:p>
      <w:pPr>
        <w:snapToGrid w:val="0"/>
        <w:spacing w:line="46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val="en-US" w:eastAsia="zh-CN"/>
        </w:rPr>
        <w:t>3、需免费</w:t>
      </w:r>
      <w:r>
        <w:rPr>
          <w:rFonts w:hint="eastAsia" w:ascii="黑体" w:hAnsi="黑体" w:eastAsia="黑体" w:cs="黑体"/>
          <w:b/>
          <w:bCs/>
          <w:color w:val="000000"/>
          <w:sz w:val="28"/>
          <w:szCs w:val="28"/>
          <w:lang w:eastAsia="zh-CN"/>
        </w:rPr>
        <w:t>提供配套的题库、课件和教学资源包。</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化工单元CSTS虚拟现实3D仿真软件项目</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20日内完成供货和安装，安装后20年内免费系统升级维护</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26.5万元。超过预算金额的报价为无效报价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DD719A"/>
    <w:rsid w:val="0EED3DB3"/>
    <w:rsid w:val="0F5136C0"/>
    <w:rsid w:val="0F78360A"/>
    <w:rsid w:val="0F785EC3"/>
    <w:rsid w:val="0FA34244"/>
    <w:rsid w:val="0FC76146"/>
    <w:rsid w:val="10486C99"/>
    <w:rsid w:val="10A02C4D"/>
    <w:rsid w:val="11606A7A"/>
    <w:rsid w:val="125D6101"/>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70763"/>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F75CED"/>
    <w:rsid w:val="33297F74"/>
    <w:rsid w:val="3348262D"/>
    <w:rsid w:val="334912C7"/>
    <w:rsid w:val="336C1CB6"/>
    <w:rsid w:val="33AE7E7D"/>
    <w:rsid w:val="340D52DD"/>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2021-04-16T00:43:00Z</cp:lastPrinted>
  <dcterms:modified xsi:type="dcterms:W3CDTF">2021-05-19T09:50:35Z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