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28</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文港中路校区消防器材项目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文港中路校区消防器材</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2042"/>
        <w:gridCol w:w="3620"/>
        <w:gridCol w:w="105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序号</w:t>
            </w:r>
          </w:p>
        </w:tc>
        <w:tc>
          <w:tcPr>
            <w:tcW w:w="2042"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项目</w:t>
            </w:r>
          </w:p>
        </w:tc>
        <w:tc>
          <w:tcPr>
            <w:tcW w:w="3620"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技术参数</w:t>
            </w:r>
          </w:p>
        </w:tc>
        <w:tc>
          <w:tcPr>
            <w:tcW w:w="1055"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单位</w:t>
            </w:r>
          </w:p>
        </w:tc>
        <w:tc>
          <w:tcPr>
            <w:tcW w:w="1186"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16" w:type="dxa"/>
            <w:noWrap w:val="0"/>
            <w:vAlign w:val="center"/>
          </w:tcPr>
          <w:p>
            <w:pPr>
              <w:snapToGrid w:val="0"/>
              <w:spacing w:line="460" w:lineRule="exact"/>
              <w:jc w:val="center"/>
              <w:rPr>
                <w:rFonts w:hint="default" w:ascii="仿宋_GB2312" w:eastAsia="仿宋_GB2312" w:cs="仿宋_GB2312"/>
                <w:b w:val="0"/>
                <w:bCs w:val="0"/>
                <w:color w:val="000000"/>
                <w:sz w:val="28"/>
                <w:szCs w:val="28"/>
                <w:vertAlign w:val="baseline"/>
                <w:lang w:val="en-US" w:eastAsia="zh-CN"/>
              </w:rPr>
            </w:pPr>
            <w:r>
              <w:rPr>
                <w:rFonts w:hint="eastAsia" w:ascii="仿宋_GB2312" w:eastAsia="仿宋_GB2312" w:cs="仿宋_GB2312"/>
                <w:b w:val="0"/>
                <w:bCs w:val="0"/>
                <w:color w:val="000000"/>
                <w:sz w:val="28"/>
                <w:szCs w:val="28"/>
                <w:vertAlign w:val="baseline"/>
                <w:lang w:val="en-US" w:eastAsia="zh-CN"/>
              </w:rPr>
              <w:t>1</w:t>
            </w:r>
          </w:p>
        </w:tc>
        <w:tc>
          <w:tcPr>
            <w:tcW w:w="2042" w:type="dxa"/>
            <w:noWrap w:val="0"/>
            <w:vAlign w:val="center"/>
          </w:tcPr>
          <w:p>
            <w:pPr>
              <w:snapToGrid w:val="0"/>
              <w:spacing w:line="460" w:lineRule="exact"/>
              <w:jc w:val="center"/>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color w:val="000000"/>
                <w:sz w:val="28"/>
                <w:szCs w:val="28"/>
              </w:rPr>
              <w:t>消防灭火器</w:t>
            </w:r>
          </w:p>
        </w:tc>
        <w:tc>
          <w:tcPr>
            <w:tcW w:w="3620" w:type="dxa"/>
            <w:noWrap w:val="0"/>
            <w:vAlign w:val="center"/>
          </w:tcPr>
          <w:p>
            <w:pPr>
              <w:snapToGrid w:val="0"/>
              <w:spacing w:line="460" w:lineRule="exact"/>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rPr>
              <w:t>4公斤/罐手提式干粉灭火器</w:t>
            </w:r>
          </w:p>
        </w:tc>
        <w:tc>
          <w:tcPr>
            <w:tcW w:w="1055" w:type="dxa"/>
            <w:noWrap w:val="0"/>
            <w:vAlign w:val="center"/>
          </w:tcPr>
          <w:p>
            <w:pPr>
              <w:snapToGrid w:val="0"/>
              <w:spacing w:line="460" w:lineRule="exact"/>
              <w:jc w:val="center"/>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个</w:t>
            </w:r>
          </w:p>
        </w:tc>
        <w:tc>
          <w:tcPr>
            <w:tcW w:w="1186" w:type="dxa"/>
            <w:noWrap w:val="0"/>
            <w:vAlign w:val="center"/>
          </w:tcPr>
          <w:p>
            <w:pPr>
              <w:snapToGrid w:val="0"/>
              <w:spacing w:line="460" w:lineRule="exact"/>
              <w:jc w:val="center"/>
              <w:rPr>
                <w:rFonts w:hint="default" w:ascii="仿宋_GB2312" w:eastAsia="仿宋_GB2312" w:cs="仿宋_GB2312"/>
                <w:b w:val="0"/>
                <w:bCs w:val="0"/>
                <w:color w:val="000000"/>
                <w:sz w:val="28"/>
                <w:szCs w:val="28"/>
                <w:vertAlign w:val="baseline"/>
                <w:lang w:val="en-US" w:eastAsia="zh-CN"/>
              </w:rPr>
            </w:pPr>
            <w:r>
              <w:rPr>
                <w:rFonts w:hint="eastAsia" w:ascii="仿宋_GB2312" w:eastAsia="仿宋_GB2312" w:cs="仿宋_GB2312"/>
                <w:b w:val="0"/>
                <w:bCs w:val="0"/>
                <w:color w:val="000000"/>
                <w:sz w:val="28"/>
                <w:szCs w:val="28"/>
                <w:vertAlign w:val="baseline"/>
                <w:lang w:val="en-US" w:eastAsia="zh-CN"/>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noWrap w:val="0"/>
            <w:vAlign w:val="center"/>
          </w:tcPr>
          <w:p>
            <w:pPr>
              <w:snapToGrid w:val="0"/>
              <w:spacing w:line="460" w:lineRule="exact"/>
              <w:jc w:val="center"/>
              <w:rPr>
                <w:rFonts w:hint="default" w:ascii="仿宋_GB2312" w:eastAsia="仿宋_GB2312" w:cs="仿宋_GB2312"/>
                <w:b w:val="0"/>
                <w:bCs w:val="0"/>
                <w:color w:val="000000"/>
                <w:sz w:val="28"/>
                <w:szCs w:val="28"/>
                <w:vertAlign w:val="baseline"/>
                <w:lang w:val="en-US" w:eastAsia="zh-CN"/>
              </w:rPr>
            </w:pPr>
            <w:r>
              <w:rPr>
                <w:rFonts w:hint="eastAsia" w:ascii="仿宋_GB2312" w:eastAsia="仿宋_GB2312" w:cs="仿宋_GB2312"/>
                <w:b w:val="0"/>
                <w:bCs w:val="0"/>
                <w:color w:val="000000"/>
                <w:sz w:val="28"/>
                <w:szCs w:val="28"/>
                <w:vertAlign w:val="baseline"/>
                <w:lang w:val="en-US" w:eastAsia="zh-CN"/>
              </w:rPr>
              <w:t>2</w:t>
            </w:r>
          </w:p>
        </w:tc>
        <w:tc>
          <w:tcPr>
            <w:tcW w:w="2042" w:type="dxa"/>
            <w:noWrap w:val="0"/>
            <w:vAlign w:val="center"/>
          </w:tcPr>
          <w:p>
            <w:pPr>
              <w:snapToGrid w:val="0"/>
              <w:spacing w:line="460" w:lineRule="exact"/>
              <w:jc w:val="center"/>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color w:val="000000"/>
                <w:sz w:val="28"/>
                <w:szCs w:val="28"/>
              </w:rPr>
              <w:t>水带</w:t>
            </w:r>
          </w:p>
        </w:tc>
        <w:tc>
          <w:tcPr>
            <w:tcW w:w="3620" w:type="dxa"/>
            <w:noWrap w:val="0"/>
            <w:vAlign w:val="center"/>
          </w:tcPr>
          <w:p>
            <w:pPr>
              <w:snapToGrid w:val="0"/>
              <w:spacing w:line="460" w:lineRule="exact"/>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rPr>
              <w:t>长度是25m、承受最大压力10kg/cm2、水龙带公称直径65mm的涤纶长丝/涤纶长丝-聚氨酯有衬里消防水带</w:t>
            </w:r>
          </w:p>
        </w:tc>
        <w:tc>
          <w:tcPr>
            <w:tcW w:w="1055" w:type="dxa"/>
            <w:noWrap w:val="0"/>
            <w:vAlign w:val="center"/>
          </w:tcPr>
          <w:p>
            <w:pPr>
              <w:snapToGrid w:val="0"/>
              <w:spacing w:line="460" w:lineRule="exact"/>
              <w:jc w:val="center"/>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条</w:t>
            </w:r>
          </w:p>
        </w:tc>
        <w:tc>
          <w:tcPr>
            <w:tcW w:w="1186" w:type="dxa"/>
            <w:noWrap w:val="0"/>
            <w:vAlign w:val="center"/>
          </w:tcPr>
          <w:p>
            <w:pPr>
              <w:snapToGrid w:val="0"/>
              <w:spacing w:line="460" w:lineRule="exact"/>
              <w:jc w:val="center"/>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val="en-US" w:eastAsia="zh-CN"/>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616" w:type="dxa"/>
            <w:noWrap w:val="0"/>
            <w:vAlign w:val="center"/>
          </w:tcPr>
          <w:p>
            <w:pPr>
              <w:snapToGrid w:val="0"/>
              <w:spacing w:line="460" w:lineRule="exact"/>
              <w:jc w:val="center"/>
              <w:rPr>
                <w:rFonts w:hint="default" w:ascii="仿宋_GB2312" w:eastAsia="仿宋_GB2312" w:cs="仿宋_GB2312"/>
                <w:b w:val="0"/>
                <w:bCs w:val="0"/>
                <w:color w:val="000000"/>
                <w:sz w:val="28"/>
                <w:szCs w:val="28"/>
                <w:vertAlign w:val="baseline"/>
                <w:lang w:val="en-US" w:eastAsia="zh-CN"/>
              </w:rPr>
            </w:pPr>
            <w:r>
              <w:rPr>
                <w:rFonts w:hint="eastAsia" w:ascii="仿宋_GB2312" w:eastAsia="仿宋_GB2312" w:cs="仿宋_GB2312"/>
                <w:b w:val="0"/>
                <w:bCs w:val="0"/>
                <w:color w:val="000000"/>
                <w:sz w:val="28"/>
                <w:szCs w:val="28"/>
                <w:vertAlign w:val="baseline"/>
                <w:lang w:val="en-US" w:eastAsia="zh-CN"/>
              </w:rPr>
              <w:t>3</w:t>
            </w:r>
          </w:p>
        </w:tc>
        <w:tc>
          <w:tcPr>
            <w:tcW w:w="2042" w:type="dxa"/>
            <w:noWrap w:val="0"/>
            <w:vAlign w:val="center"/>
          </w:tcPr>
          <w:p>
            <w:pPr>
              <w:snapToGrid w:val="0"/>
              <w:spacing w:line="460" w:lineRule="exact"/>
              <w:jc w:val="center"/>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color w:val="000000"/>
                <w:sz w:val="28"/>
                <w:szCs w:val="28"/>
              </w:rPr>
              <w:t>疏散指示和安全出口标志</w:t>
            </w:r>
          </w:p>
        </w:tc>
        <w:tc>
          <w:tcPr>
            <w:tcW w:w="3620" w:type="dxa"/>
            <w:noWrap w:val="0"/>
            <w:vAlign w:val="center"/>
          </w:tcPr>
          <w:p>
            <w:pPr>
              <w:snapToGrid w:val="0"/>
              <w:spacing w:line="460" w:lineRule="exact"/>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rPr>
              <w:t>1.额定电源电压：111V-240V；2.额定工作频率：50HZ; 3.主电功耗：3W；4. 光源类型: LED ；5.电流15-25mA；6.应急时间: ≥90min；7.应急转换时间≤0.2S；规格：360</w:t>
            </w:r>
            <w:r>
              <w:rPr>
                <w:rFonts w:hint="eastAsia" w:ascii="仿宋_GB2312" w:eastAsia="仿宋_GB2312" w:cs="仿宋_GB2312"/>
                <w:color w:val="000000"/>
                <w:sz w:val="28"/>
                <w:szCs w:val="28"/>
                <w:lang w:val="en-US" w:eastAsia="zh-CN"/>
              </w:rPr>
              <w:t>mm</w:t>
            </w:r>
            <w:r>
              <w:rPr>
                <w:rFonts w:hint="eastAsia" w:ascii="仿宋_GB2312" w:eastAsia="仿宋_GB2312" w:cs="仿宋_GB2312"/>
                <w:color w:val="000000"/>
                <w:sz w:val="28"/>
                <w:szCs w:val="28"/>
              </w:rPr>
              <w:t>×164</w:t>
            </w:r>
            <w:r>
              <w:rPr>
                <w:rFonts w:hint="eastAsia" w:ascii="仿宋_GB2312" w:eastAsia="仿宋_GB2312" w:cs="仿宋_GB2312"/>
                <w:color w:val="000000"/>
                <w:sz w:val="28"/>
                <w:szCs w:val="28"/>
                <w:lang w:val="en-US" w:eastAsia="zh-CN"/>
              </w:rPr>
              <w:t>mm</w:t>
            </w:r>
            <w:r>
              <w:rPr>
                <w:rFonts w:hint="eastAsia" w:ascii="仿宋_GB2312" w:eastAsia="仿宋_GB2312" w:cs="仿宋_GB2312"/>
                <w:color w:val="000000"/>
                <w:sz w:val="28"/>
                <w:szCs w:val="28"/>
              </w:rPr>
              <w:t>×30</w:t>
            </w:r>
            <w:r>
              <w:rPr>
                <w:rFonts w:hint="eastAsia" w:ascii="仿宋_GB2312" w:eastAsia="仿宋_GB2312" w:cs="仿宋_GB2312"/>
                <w:color w:val="000000"/>
                <w:sz w:val="28"/>
                <w:szCs w:val="28"/>
                <w:lang w:val="en-US" w:eastAsia="zh-CN"/>
              </w:rPr>
              <w:t>mm</w:t>
            </w:r>
          </w:p>
        </w:tc>
        <w:tc>
          <w:tcPr>
            <w:tcW w:w="1055" w:type="dxa"/>
            <w:noWrap w:val="0"/>
            <w:vAlign w:val="center"/>
          </w:tcPr>
          <w:p>
            <w:pPr>
              <w:snapToGrid w:val="0"/>
              <w:spacing w:line="460" w:lineRule="exact"/>
              <w:jc w:val="center"/>
              <w:rPr>
                <w:rFonts w:hint="eastAsia" w:ascii="仿宋_GB2312" w:eastAsia="仿宋_GB2312" w:cs="仿宋_GB2312"/>
                <w:b w:val="0"/>
                <w:bCs w:val="0"/>
                <w:color w:val="000000"/>
                <w:sz w:val="28"/>
                <w:szCs w:val="28"/>
                <w:vertAlign w:val="baseline"/>
                <w:lang w:eastAsia="zh-CN"/>
              </w:rPr>
            </w:pPr>
            <w:r>
              <w:rPr>
                <w:rFonts w:hint="eastAsia" w:ascii="仿宋_GB2312" w:eastAsia="仿宋_GB2312" w:cs="仿宋_GB2312"/>
                <w:b w:val="0"/>
                <w:bCs w:val="0"/>
                <w:color w:val="000000"/>
                <w:sz w:val="28"/>
                <w:szCs w:val="28"/>
                <w:vertAlign w:val="baseline"/>
                <w:lang w:eastAsia="zh-CN"/>
              </w:rPr>
              <w:t>块</w:t>
            </w:r>
          </w:p>
        </w:tc>
        <w:tc>
          <w:tcPr>
            <w:tcW w:w="1186" w:type="dxa"/>
            <w:noWrap w:val="0"/>
            <w:vAlign w:val="center"/>
          </w:tcPr>
          <w:p>
            <w:pPr>
              <w:snapToGrid w:val="0"/>
              <w:spacing w:line="460" w:lineRule="exact"/>
              <w:jc w:val="center"/>
              <w:rPr>
                <w:rFonts w:hint="default" w:ascii="仿宋_GB2312" w:eastAsia="仿宋_GB2312" w:cs="仿宋_GB2312"/>
                <w:b w:val="0"/>
                <w:bCs w:val="0"/>
                <w:color w:val="000000"/>
                <w:sz w:val="28"/>
                <w:szCs w:val="28"/>
                <w:vertAlign w:val="baseline"/>
                <w:lang w:val="en-US" w:eastAsia="zh-CN"/>
              </w:rPr>
            </w:pPr>
            <w:r>
              <w:rPr>
                <w:rFonts w:hint="eastAsia" w:ascii="仿宋_GB2312" w:eastAsia="仿宋_GB2312" w:cs="仿宋_GB2312"/>
                <w:b w:val="0"/>
                <w:bCs w:val="0"/>
                <w:color w:val="000000"/>
                <w:sz w:val="28"/>
                <w:szCs w:val="28"/>
                <w:vertAlign w:val="baseline"/>
                <w:lang w:val="en-US" w:eastAsia="zh-CN"/>
              </w:rPr>
              <w:t>115</w:t>
            </w: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消防器材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10日内完成供货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7.63万元。超过预算金额的报价为无效报价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5</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28</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仿宋_GB2312" w:eastAsia="仿宋_GB2312" w:cs="仿宋_GB2312"/>
          <w:sz w:val="32"/>
          <w:szCs w:val="32"/>
          <w:lang w:eastAsia="zh-CN"/>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r>
        <w:rPr>
          <w:rFonts w:hint="eastAsia" w:ascii="仿宋_GB2312" w:hAnsi="仿宋_GB2312" w:eastAsia="仿宋_GB2312" w:cs="仿宋_GB2312"/>
          <w:b/>
          <w:bCs/>
          <w:color w:val="000000"/>
          <w:sz w:val="28"/>
          <w:szCs w:val="28"/>
          <w:lang w:eastAsia="zh-CN"/>
        </w:rPr>
        <w:t>。</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B22E3"/>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EB2D57"/>
    <w:rsid w:val="0AFC45D4"/>
    <w:rsid w:val="0B404762"/>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874AD4"/>
    <w:rsid w:val="2BA12CCB"/>
    <w:rsid w:val="2BF253AE"/>
    <w:rsid w:val="2BF95B4F"/>
    <w:rsid w:val="2C225919"/>
    <w:rsid w:val="2C430B45"/>
    <w:rsid w:val="2C9629A2"/>
    <w:rsid w:val="2D0A78E6"/>
    <w:rsid w:val="2D1D1E0E"/>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5C565B0"/>
    <w:rsid w:val="45D26FD9"/>
    <w:rsid w:val="45F85DE8"/>
    <w:rsid w:val="463E5BEA"/>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16</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2021-05-17T00:14:00Z</cp:lastPrinted>
  <dcterms:modified xsi:type="dcterms:W3CDTF">2021-05-19T09:51:02Z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