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Times New Roman" w:cs="宋体"/>
          <w:b/>
          <w:bCs/>
          <w:color w:val="000000"/>
          <w:sz w:val="84"/>
          <w:szCs w:val="84"/>
        </w:rPr>
      </w:pPr>
    </w:p>
    <w:p>
      <w:pPr>
        <w:jc w:val="center"/>
        <w:rPr>
          <w:rFonts w:eastAsia="Times New Roman" w:cs="宋体"/>
          <w:b/>
          <w:bCs/>
          <w:color w:val="000000"/>
          <w:sz w:val="84"/>
          <w:szCs w:val="84"/>
        </w:rPr>
      </w:pPr>
    </w:p>
    <w:p>
      <w:pPr>
        <w:jc w:val="center"/>
        <w:rPr>
          <w:rFonts w:hint="eastAsia" w:eastAsia="宋体"/>
          <w:b/>
          <w:bCs/>
          <w:color w:val="000000"/>
          <w:sz w:val="84"/>
          <w:szCs w:val="84"/>
          <w:lang w:eastAsia="zh-CN"/>
        </w:rPr>
      </w:pPr>
      <w:r>
        <w:rPr>
          <w:rFonts w:hint="eastAsia" w:ascii="宋体" w:hAnsi="宋体" w:cs="宋体"/>
          <w:b/>
          <w:bCs/>
          <w:color w:val="000000"/>
          <w:sz w:val="84"/>
          <w:szCs w:val="84"/>
        </w:rPr>
        <w:t>招标</w:t>
      </w:r>
      <w:r>
        <w:rPr>
          <w:rFonts w:hint="eastAsia" w:ascii="宋体" w:hAnsi="宋体" w:cs="宋体"/>
          <w:b/>
          <w:bCs/>
          <w:color w:val="000000"/>
          <w:sz w:val="84"/>
          <w:szCs w:val="84"/>
          <w:lang w:eastAsia="zh-CN"/>
        </w:rPr>
        <w:t>公告</w:t>
      </w: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rFonts w:eastAsia="Times New Roman"/>
          <w:b/>
          <w:bCs/>
          <w:color w:val="000000"/>
          <w:sz w:val="30"/>
          <w:szCs w:val="30"/>
        </w:rPr>
      </w:pPr>
    </w:p>
    <w:p>
      <w:pPr>
        <w:spacing w:line="360" w:lineRule="auto"/>
        <w:rPr>
          <w:b/>
          <w:bCs/>
          <w:color w:val="000000"/>
          <w:sz w:val="36"/>
          <w:szCs w:val="36"/>
        </w:rPr>
      </w:pPr>
      <w:r>
        <w:rPr>
          <w:rFonts w:hint="eastAsia" w:ascii="宋体" w:hAns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34</w:t>
      </w:r>
      <w:r>
        <w:rPr>
          <w:rFonts w:ascii="楷体_GB2312" w:hAnsi="楷体_GB2312" w:eastAsia="楷体_GB2312" w:cs="楷体_GB2312"/>
          <w:b/>
          <w:bCs/>
          <w:color w:val="000000"/>
          <w:sz w:val="36"/>
          <w:szCs w:val="36"/>
          <w:u w:val="single"/>
        </w:rPr>
        <w:t>#</w:t>
      </w:r>
    </w:p>
    <w:p>
      <w:pPr>
        <w:spacing w:line="360" w:lineRule="auto"/>
        <w:rPr>
          <w:rFonts w:hint="eastAsia" w:ascii="楷体_GB2312" w:hAnsi="楷体_GB2312" w:eastAsia="楷体_GB2312" w:cs="楷体_GB2312"/>
          <w:b/>
          <w:bCs/>
          <w:color w:val="000000"/>
          <w:sz w:val="36"/>
          <w:szCs w:val="36"/>
          <w:u w:val="single"/>
          <w:lang w:eastAsia="zh-CN"/>
        </w:rPr>
      </w:pPr>
      <w:r>
        <w:rPr>
          <w:rFonts w:hint="eastAsia" w:ascii="宋体" w:hAnsi="宋体" w:cs="宋体"/>
          <w:b/>
          <w:bCs/>
          <w:color w:val="000000"/>
          <w:sz w:val="36"/>
          <w:szCs w:val="36"/>
        </w:rPr>
        <w:t>项目名称：</w:t>
      </w:r>
      <w:r>
        <w:rPr>
          <w:rFonts w:hint="eastAsia" w:ascii="楷体_GB2312" w:hAnsi="楷体_GB2312" w:eastAsia="楷体_GB2312" w:cs="楷体_GB2312"/>
          <w:b/>
          <w:bCs/>
          <w:color w:val="000000"/>
          <w:sz w:val="36"/>
          <w:szCs w:val="36"/>
          <w:u w:val="single"/>
        </w:rPr>
        <w:t>2021年教职工传统节日福利项目</w:t>
      </w:r>
    </w:p>
    <w:p>
      <w:pPr>
        <w:spacing w:line="360" w:lineRule="auto"/>
        <w:rPr>
          <w:rFonts w:eastAsia="Times New Roman" w:cs="宋体"/>
          <w:b/>
          <w:bCs/>
          <w:color w:val="000000"/>
          <w:sz w:val="36"/>
          <w:szCs w:val="36"/>
        </w:rPr>
      </w:pPr>
      <w:r>
        <w:rPr>
          <w:rFonts w:hint="eastAsia" w:ascii="宋体" w:hAnsi="宋体" w:cs="宋体"/>
          <w:b/>
          <w:bCs/>
          <w:color w:val="000000"/>
          <w:w w:val="120"/>
          <w:sz w:val="36"/>
          <w:szCs w:val="36"/>
          <w:lang w:eastAsia="zh-TW"/>
        </w:rPr>
        <w:t>招标人：</w:t>
      </w:r>
      <w:r>
        <w:rPr>
          <w:rFonts w:hint="eastAsia" w:ascii="楷体_GB2312" w:hAnsi="楷体_GB2312" w:eastAsia="楷体_GB2312" w:cs="楷体_GB2312"/>
          <w:b/>
          <w:bCs/>
          <w:color w:val="000000"/>
          <w:sz w:val="36"/>
          <w:szCs w:val="36"/>
          <w:u w:val="single"/>
          <w:lang w:eastAsia="zh-TW"/>
        </w:rPr>
        <w:t>江苏省盐城技师学院</w:t>
      </w:r>
    </w:p>
    <w:p>
      <w:pPr>
        <w:jc w:val="center"/>
        <w:rPr>
          <w:rFonts w:eastAsia="Times New Roman" w:cs="宋体"/>
          <w:b/>
          <w:bCs/>
          <w:color w:val="000000"/>
          <w:sz w:val="36"/>
          <w:szCs w:val="36"/>
          <w:lang w:eastAsia="zh-TW"/>
        </w:rPr>
      </w:pPr>
    </w:p>
    <w:p>
      <w:pPr>
        <w:jc w:val="center"/>
        <w:rPr>
          <w:rFonts w:eastAsia="Times New Roman" w:cs="宋体"/>
          <w:b/>
          <w:bCs/>
          <w:color w:val="000000"/>
          <w:sz w:val="36"/>
          <w:szCs w:val="36"/>
          <w:lang w:eastAsia="zh-TW"/>
        </w:rPr>
      </w:pPr>
    </w:p>
    <w:p>
      <w:pPr>
        <w:jc w:val="center"/>
        <w:rPr>
          <w:rFonts w:eastAsia="Times New Roman" w:cs="宋体"/>
          <w:b/>
          <w:bCs/>
          <w:color w:val="000000"/>
          <w:sz w:val="36"/>
          <w:szCs w:val="36"/>
          <w:lang w:eastAsia="zh-TW"/>
        </w:rPr>
      </w:pPr>
    </w:p>
    <w:p>
      <w:pPr>
        <w:jc w:val="center"/>
        <w:rPr>
          <w:rFonts w:cs="宋体"/>
          <w:b/>
          <w:bCs/>
          <w:color w:val="000000"/>
          <w:sz w:val="36"/>
          <w:szCs w:val="36"/>
        </w:rPr>
      </w:pPr>
    </w:p>
    <w:p>
      <w:pPr>
        <w:jc w:val="both"/>
        <w:rPr>
          <w:rFonts w:eastAsia="Times New Roman" w:cs="宋体"/>
          <w:b/>
          <w:bCs/>
          <w:color w:val="000000"/>
          <w:sz w:val="36"/>
          <w:szCs w:val="36"/>
          <w:lang w:eastAsia="zh-TW"/>
        </w:rPr>
      </w:pPr>
    </w:p>
    <w:p>
      <w:pPr>
        <w:jc w:val="center"/>
        <w:rPr>
          <w:rFonts w:eastAsia="Times New Roman" w:cs="黑体"/>
          <w:color w:val="000000"/>
          <w:sz w:val="44"/>
          <w:szCs w:val="44"/>
        </w:rPr>
      </w:pPr>
      <w:r>
        <w:rPr>
          <w:rFonts w:ascii="楷体_GB2312" w:hAnsi="楷体_GB2312" w:eastAsia="楷体_GB2312" w:cs="楷体_GB2312"/>
          <w:b/>
          <w:bCs/>
          <w:color w:val="000000"/>
          <w:sz w:val="44"/>
          <w:szCs w:val="44"/>
        </w:rPr>
        <w:t>20</w:t>
      </w:r>
      <w:r>
        <w:rPr>
          <w:rFonts w:hint="eastAsia" w:ascii="楷体_GB2312" w:hAnsi="楷体_GB2312" w:eastAsia="楷体_GB2312" w:cs="楷体_GB2312"/>
          <w:b/>
          <w:bCs/>
          <w:color w:val="000000"/>
          <w:sz w:val="44"/>
          <w:szCs w:val="44"/>
          <w:lang w:val="en-US" w:eastAsia="zh-CN"/>
        </w:rPr>
        <w:t>21</w:t>
      </w:r>
      <w:r>
        <w:rPr>
          <w:rFonts w:hint="eastAsia" w:ascii="楷体_GB2312" w:hAnsi="楷体_GB2312" w:eastAsia="楷体_GB2312" w:cs="楷体_GB2312"/>
          <w:b/>
          <w:bCs/>
          <w:color w:val="000000"/>
          <w:sz w:val="44"/>
          <w:szCs w:val="44"/>
        </w:rPr>
        <w:t>年</w:t>
      </w:r>
      <w:r>
        <w:rPr>
          <w:rFonts w:hint="eastAsia" w:ascii="楷体_GB2312" w:hAnsi="楷体_GB2312" w:eastAsia="楷体_GB2312" w:cs="楷体_GB2312"/>
          <w:b/>
          <w:bCs/>
          <w:color w:val="000000"/>
          <w:sz w:val="44"/>
          <w:szCs w:val="44"/>
          <w:lang w:val="en-US" w:eastAsia="zh-CN"/>
        </w:rPr>
        <w:t>5</w:t>
      </w:r>
      <w:r>
        <w:rPr>
          <w:rFonts w:hint="eastAsia" w:ascii="楷体_GB2312" w:hAnsi="楷体_GB2312" w:eastAsia="楷体_GB2312" w:cs="楷体_GB2312"/>
          <w:b/>
          <w:bCs/>
          <w:color w:val="000000"/>
          <w:sz w:val="44"/>
          <w:szCs w:val="44"/>
        </w:rPr>
        <w:t>月</w:t>
      </w:r>
    </w:p>
    <w:p>
      <w:pPr>
        <w:jc w:val="center"/>
        <w:rPr>
          <w:rFonts w:cs="黑体"/>
          <w:color w:val="000000"/>
          <w:sz w:val="44"/>
          <w:szCs w:val="44"/>
        </w:rPr>
      </w:pPr>
    </w:p>
    <w:p>
      <w:pPr>
        <w:jc w:val="both"/>
        <w:rPr>
          <w:rFonts w:cs="黑体"/>
          <w:color w:val="000000"/>
          <w:sz w:val="44"/>
          <w:szCs w:val="44"/>
        </w:rPr>
      </w:pPr>
    </w:p>
    <w:p>
      <w:pPr>
        <w:spacing w:line="700" w:lineRule="exact"/>
        <w:jc w:val="center"/>
        <w:rPr>
          <w:rFonts w:eastAsia="Times New Roman"/>
          <w:b/>
          <w:bCs/>
          <w:color w:val="000000"/>
          <w:sz w:val="44"/>
        </w:rPr>
      </w:pPr>
      <w:r>
        <w:rPr>
          <w:rFonts w:hint="eastAsia" w:ascii="宋体" w:hAnsi="宋体" w:cs="宋体"/>
          <w:b/>
          <w:bCs/>
          <w:color w:val="000000"/>
          <w:sz w:val="44"/>
        </w:rPr>
        <w:t>提</w:t>
      </w:r>
      <w:r>
        <w:rPr>
          <w:rFonts w:eastAsia="Times New Roman"/>
          <w:b/>
          <w:bCs/>
          <w:color w:val="000000"/>
          <w:sz w:val="44"/>
        </w:rPr>
        <w:t xml:space="preserve">      </w:t>
      </w:r>
      <w:r>
        <w:rPr>
          <w:rFonts w:hint="eastAsia" w:ascii="宋体" w:hAnsi="宋体" w:cs="宋体"/>
          <w:b/>
          <w:bCs/>
          <w:color w:val="000000"/>
          <w:sz w:val="44"/>
        </w:rPr>
        <w:t>示</w:t>
      </w:r>
    </w:p>
    <w:p>
      <w:pPr>
        <w:spacing w:line="700" w:lineRule="exact"/>
        <w:jc w:val="center"/>
        <w:rPr>
          <w:rFonts w:eastAsia="Times New Roman"/>
          <w:color w:val="000000"/>
          <w:sz w:val="32"/>
          <w:szCs w:val="32"/>
        </w:rPr>
      </w:pP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二、投标人必须对其提交文件、证件、资料的真实性、有效性和合法性承担责任。</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三、投标人必须按照招标文件的要求详细填写和编制投标文件。</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五、招标人：江苏省盐城技师学院</w:t>
      </w:r>
    </w:p>
    <w:p>
      <w:pPr>
        <w:spacing w:line="560" w:lineRule="exact"/>
        <w:ind w:firstLine="420"/>
        <w:rPr>
          <w:rFonts w:eastAsia="Times New Roman" w:cs="仿宋_GB2312"/>
          <w:color w:val="000000"/>
          <w:sz w:val="28"/>
          <w:szCs w:val="28"/>
        </w:rPr>
      </w:pPr>
      <w:r>
        <w:rPr>
          <w:rFonts w:hint="eastAsia" w:ascii="宋体" w:hAnsi="宋体" w:cs="宋体"/>
          <w:color w:val="000000"/>
          <w:sz w:val="28"/>
          <w:szCs w:val="28"/>
        </w:rPr>
        <w:t>联系人：杨老师</w:t>
      </w:r>
      <w:r>
        <w:rPr>
          <w:rFonts w:eastAsia="Times New Roman" w:cs="仿宋_GB2312"/>
          <w:color w:val="000000"/>
          <w:sz w:val="28"/>
          <w:szCs w:val="28"/>
        </w:rPr>
        <w:t>0515—68661002</w:t>
      </w: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spacing w:line="600" w:lineRule="exact"/>
        <w:ind w:firstLine="742"/>
        <w:rPr>
          <w:rFonts w:eastAsia="Times New Roman"/>
          <w:color w:val="000000"/>
          <w:szCs w:val="32"/>
        </w:rPr>
      </w:pPr>
    </w:p>
    <w:p>
      <w:pPr>
        <w:rPr>
          <w:color w:val="000000"/>
        </w:rPr>
        <w:sectPr>
          <w:endnotePr>
            <w:numFmt w:val="decimal"/>
          </w:endnotePr>
          <w:pgSz w:w="11906" w:h="16838"/>
          <w:pgMar w:top="1440" w:right="1800" w:bottom="1440" w:left="1800" w:header="720" w:footer="720" w:gutter="0"/>
          <w:cols w:space="720" w:num="1"/>
        </w:sectPr>
      </w:pPr>
    </w:p>
    <w:p>
      <w:pPr>
        <w:tabs>
          <w:tab w:val="left" w:pos="2600"/>
        </w:tabs>
        <w:spacing w:before="156" w:after="156"/>
        <w:jc w:val="center"/>
        <w:rPr>
          <w:rFonts w:eastAsia="Times New Roman"/>
          <w:b/>
          <w:bCs/>
          <w:color w:val="000000"/>
          <w:sz w:val="44"/>
        </w:rPr>
      </w:pPr>
      <w:r>
        <w:rPr>
          <w:rFonts w:hint="eastAsia" w:ascii="宋体" w:hAnsi="宋体" w:cs="宋体"/>
          <w:b/>
          <w:bCs/>
          <w:color w:val="000000"/>
          <w:sz w:val="44"/>
        </w:rPr>
        <w:t>第一部分</w:t>
      </w:r>
      <w:r>
        <w:rPr>
          <w:rFonts w:eastAsia="Times New Roman"/>
          <w:b/>
          <w:bCs/>
          <w:color w:val="000000"/>
          <w:sz w:val="44"/>
        </w:rPr>
        <w:t xml:space="preserve">  </w:t>
      </w:r>
      <w:r>
        <w:rPr>
          <w:rFonts w:hint="eastAsia" w:ascii="宋体" w:hAnsi="宋体" w:cs="宋体"/>
          <w:b/>
          <w:bCs/>
          <w:color w:val="000000"/>
          <w:sz w:val="44"/>
        </w:rPr>
        <w:t>招标公告</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根据《中华人民共和国政府采购法》等法律、法规的规定，现就</w:t>
      </w:r>
      <w:r>
        <w:rPr>
          <w:rFonts w:hint="eastAsia" w:ascii="仿宋_GB2312" w:hAnsi="仿宋_GB2312" w:eastAsia="仿宋_GB2312" w:cs="仿宋_GB2312"/>
          <w:color w:val="000000"/>
          <w:sz w:val="28"/>
          <w:szCs w:val="28"/>
          <w:u w:val="single"/>
        </w:rPr>
        <w:t>2021年教职工传统节日福利</w:t>
      </w:r>
      <w:r>
        <w:rPr>
          <w:rFonts w:hint="eastAsia" w:ascii="仿宋_GB2312" w:hAnsi="仿宋_GB2312" w:eastAsia="仿宋_GB2312" w:cs="仿宋_GB2312"/>
          <w:color w:val="000000"/>
          <w:sz w:val="28"/>
          <w:szCs w:val="28"/>
          <w:u w:val="single"/>
          <w:lang w:eastAsia="zh-CN"/>
        </w:rPr>
        <w:t>项目</w:t>
      </w:r>
      <w:r>
        <w:rPr>
          <w:rFonts w:hint="eastAsia" w:ascii="仿宋_GB2312" w:hAnsi="仿宋_GB2312" w:eastAsia="仿宋_GB2312" w:cs="仿宋_GB2312"/>
          <w:color w:val="000000"/>
          <w:sz w:val="28"/>
          <w:szCs w:val="28"/>
        </w:rPr>
        <w:t>进行</w:t>
      </w:r>
      <w:r>
        <w:rPr>
          <w:rFonts w:hint="eastAsia" w:ascii="仿宋_GB2312" w:hAnsi="仿宋_GB2312" w:eastAsia="仿宋_GB2312" w:cs="仿宋_GB2312"/>
          <w:color w:val="000000"/>
          <w:sz w:val="28"/>
          <w:szCs w:val="28"/>
          <w:u w:val="single"/>
        </w:rPr>
        <w:t>公开招标</w:t>
      </w:r>
      <w:r>
        <w:rPr>
          <w:rFonts w:hint="eastAsia" w:ascii="仿宋_GB2312" w:hAnsi="仿宋_GB2312" w:eastAsia="仿宋_GB2312" w:cs="仿宋_GB2312"/>
          <w:color w:val="000000"/>
          <w:sz w:val="28"/>
          <w:szCs w:val="28"/>
        </w:rPr>
        <w:t>采购，欢迎合格的潜在投标人参加投标。</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一、招标项目</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3109"/>
        <w:gridCol w:w="2387"/>
        <w:gridCol w:w="94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napToGrid w:val="0"/>
              <w:spacing w:line="5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标段</w:t>
            </w:r>
          </w:p>
        </w:tc>
        <w:tc>
          <w:tcPr>
            <w:tcW w:w="3109"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项目</w:t>
            </w:r>
          </w:p>
        </w:tc>
        <w:tc>
          <w:tcPr>
            <w:tcW w:w="2387"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规格</w:t>
            </w:r>
          </w:p>
        </w:tc>
        <w:tc>
          <w:tcPr>
            <w:tcW w:w="940" w:type="dxa"/>
            <w:vAlign w:val="center"/>
          </w:tcPr>
          <w:p>
            <w:pPr>
              <w:snapToGrid w:val="0"/>
              <w:spacing w:line="50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数量</w:t>
            </w:r>
          </w:p>
          <w:p>
            <w:pPr>
              <w:snapToGrid w:val="0"/>
              <w:spacing w:line="500" w:lineRule="exact"/>
              <w:jc w:val="center"/>
              <w:rPr>
                <w:rFonts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（份）</w:t>
            </w:r>
          </w:p>
        </w:tc>
        <w:tc>
          <w:tcPr>
            <w:tcW w:w="2149" w:type="dxa"/>
            <w:vAlign w:val="center"/>
          </w:tcPr>
          <w:p>
            <w:pPr>
              <w:snapToGrid w:val="0"/>
              <w:spacing w:line="5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napToGrid w:val="0"/>
              <w:spacing w:line="500" w:lineRule="exact"/>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rPr>
              <w:t>标段</w:t>
            </w:r>
            <w:r>
              <w:rPr>
                <w:rFonts w:ascii="仿宋_GB2312" w:hAnsi="仿宋_GB2312" w:eastAsia="仿宋_GB2312" w:cs="仿宋_GB2312"/>
                <w:b/>
                <w:bCs/>
                <w:color w:val="000000"/>
                <w:sz w:val="24"/>
                <w:szCs w:val="24"/>
              </w:rPr>
              <w:t>1</w:t>
            </w:r>
          </w:p>
        </w:tc>
        <w:tc>
          <w:tcPr>
            <w:tcW w:w="310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lang w:val="en-US" w:eastAsia="zh-CN"/>
              </w:rPr>
              <w:t>2021年</w:t>
            </w:r>
            <w:r>
              <w:rPr>
                <w:rFonts w:hint="eastAsia" w:ascii="仿宋_GB2312" w:hAnsi="仿宋_GB2312" w:eastAsia="仿宋_GB2312" w:cs="仿宋_GB2312"/>
                <w:b/>
                <w:bCs/>
                <w:color w:val="000000"/>
                <w:sz w:val="24"/>
                <w:szCs w:val="24"/>
                <w:lang w:eastAsia="zh-CN"/>
              </w:rPr>
              <w:t>端午节福利</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中国传统节日习惯的用品和职工群众必须的生活用品</w:t>
            </w:r>
          </w:p>
        </w:tc>
        <w:tc>
          <w:tcPr>
            <w:tcW w:w="2387" w:type="dxa"/>
            <w:vAlign w:val="center"/>
          </w:tcPr>
          <w:p>
            <w:pPr>
              <w:snapToGrid w:val="0"/>
              <w:spacing w:line="4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结算价格</w:t>
            </w:r>
            <w:r>
              <w:rPr>
                <w:rFonts w:hint="eastAsia" w:ascii="仿宋_GB2312" w:hAnsi="仿宋_GB2312" w:eastAsia="仿宋_GB2312" w:cs="仿宋_GB2312"/>
                <w:color w:val="000000"/>
                <w:sz w:val="24"/>
                <w:szCs w:val="24"/>
                <w:lang w:val="en-US" w:eastAsia="zh-CN"/>
              </w:rPr>
              <w:t>400</w:t>
            </w:r>
            <w:r>
              <w:rPr>
                <w:rFonts w:hint="eastAsia" w:ascii="仿宋_GB2312" w:hAnsi="仿宋_GB2312" w:eastAsia="仿宋_GB2312" w:cs="仿宋_GB2312"/>
                <w:color w:val="000000"/>
                <w:sz w:val="24"/>
                <w:szCs w:val="24"/>
              </w:rPr>
              <w:t>元</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份</w:t>
            </w:r>
          </w:p>
        </w:tc>
        <w:tc>
          <w:tcPr>
            <w:tcW w:w="940" w:type="dxa"/>
            <w:vAlign w:val="center"/>
          </w:tcPr>
          <w:p>
            <w:pPr>
              <w:snapToGrid w:val="0"/>
              <w:spacing w:line="500" w:lineRule="exact"/>
              <w:jc w:val="center"/>
              <w:rPr>
                <w:rFonts w:hint="default"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857</w:t>
            </w:r>
          </w:p>
        </w:tc>
        <w:tc>
          <w:tcPr>
            <w:tcW w:w="2149" w:type="dxa"/>
            <w:vAlign w:val="center"/>
          </w:tcPr>
          <w:p>
            <w:pPr>
              <w:snapToGrid w:val="0"/>
              <w:spacing w:line="500" w:lineRule="exac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食品、日用品等生活用品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napToGrid w:val="0"/>
              <w:spacing w:line="500" w:lineRule="exact"/>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标段2</w:t>
            </w:r>
          </w:p>
        </w:tc>
        <w:tc>
          <w:tcPr>
            <w:tcW w:w="3109" w:type="dxa"/>
            <w:vAlign w:val="center"/>
          </w:tcPr>
          <w:p>
            <w:pPr>
              <w:snapToGrid w:val="0"/>
              <w:spacing w:line="5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lang w:val="en-US" w:eastAsia="zh-CN"/>
              </w:rPr>
              <w:t>2021年</w:t>
            </w:r>
            <w:r>
              <w:rPr>
                <w:rFonts w:hint="eastAsia" w:ascii="仿宋_GB2312" w:hAnsi="仿宋_GB2312" w:eastAsia="仿宋_GB2312" w:cs="仿宋_GB2312"/>
                <w:b/>
                <w:bCs/>
                <w:color w:val="000000"/>
                <w:sz w:val="24"/>
                <w:szCs w:val="24"/>
                <w:lang w:eastAsia="zh-CN"/>
              </w:rPr>
              <w:t>中秋节福利：</w:t>
            </w:r>
            <w:r>
              <w:rPr>
                <w:rFonts w:hint="eastAsia" w:ascii="仿宋_GB2312" w:hAnsi="仿宋_GB2312" w:eastAsia="仿宋_GB2312" w:cs="仿宋_GB2312"/>
                <w:color w:val="000000"/>
                <w:sz w:val="24"/>
                <w:szCs w:val="24"/>
              </w:rPr>
              <w:t>中国传统节日习惯的用品和职工群众必须的生活用品</w:t>
            </w:r>
          </w:p>
        </w:tc>
        <w:tc>
          <w:tcPr>
            <w:tcW w:w="2387" w:type="dxa"/>
            <w:vAlign w:val="center"/>
          </w:tcPr>
          <w:p>
            <w:pPr>
              <w:snapToGrid w:val="0"/>
              <w:spacing w:line="4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结算价格</w:t>
            </w:r>
            <w:r>
              <w:rPr>
                <w:rFonts w:hint="eastAsia" w:ascii="仿宋_GB2312" w:hAnsi="仿宋_GB2312" w:eastAsia="仿宋_GB2312" w:cs="仿宋_GB2312"/>
                <w:color w:val="000000"/>
                <w:sz w:val="24"/>
                <w:szCs w:val="24"/>
                <w:lang w:val="en-US" w:eastAsia="zh-CN"/>
              </w:rPr>
              <w:t>400</w:t>
            </w:r>
            <w:r>
              <w:rPr>
                <w:rFonts w:hint="eastAsia" w:ascii="仿宋_GB2312" w:hAnsi="仿宋_GB2312" w:eastAsia="仿宋_GB2312" w:cs="仿宋_GB2312"/>
                <w:color w:val="000000"/>
                <w:sz w:val="24"/>
                <w:szCs w:val="24"/>
              </w:rPr>
              <w:t>元</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份</w:t>
            </w:r>
          </w:p>
        </w:tc>
        <w:tc>
          <w:tcPr>
            <w:tcW w:w="940" w:type="dxa"/>
            <w:vAlign w:val="center"/>
          </w:tcPr>
          <w:p>
            <w:pPr>
              <w:snapToGrid w:val="0"/>
              <w:spacing w:line="500" w:lineRule="exact"/>
              <w:jc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857</w:t>
            </w:r>
          </w:p>
        </w:tc>
        <w:tc>
          <w:tcPr>
            <w:tcW w:w="2149" w:type="dxa"/>
            <w:vAlign w:val="center"/>
          </w:tcPr>
          <w:p>
            <w:pPr>
              <w:snapToGrid w:val="0"/>
              <w:spacing w:line="5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食品、日用品等生活用品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vAlign w:val="center"/>
          </w:tcPr>
          <w:p>
            <w:pPr>
              <w:snapToGrid w:val="0"/>
              <w:spacing w:line="500" w:lineRule="exact"/>
              <w:jc w:val="center"/>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标段3</w:t>
            </w:r>
          </w:p>
        </w:tc>
        <w:tc>
          <w:tcPr>
            <w:tcW w:w="3109" w:type="dxa"/>
            <w:vAlign w:val="center"/>
          </w:tcPr>
          <w:p>
            <w:pPr>
              <w:snapToGrid w:val="0"/>
              <w:spacing w:line="5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lang w:val="en-US" w:eastAsia="zh-CN"/>
              </w:rPr>
              <w:t>2021年</w:t>
            </w:r>
            <w:r>
              <w:rPr>
                <w:rFonts w:hint="eastAsia" w:ascii="仿宋_GB2312" w:hAnsi="仿宋_GB2312" w:eastAsia="仿宋_GB2312" w:cs="仿宋_GB2312"/>
                <w:b/>
                <w:bCs/>
                <w:color w:val="000000"/>
                <w:sz w:val="24"/>
                <w:szCs w:val="24"/>
                <w:lang w:eastAsia="zh-CN"/>
              </w:rPr>
              <w:t>春节福利：</w:t>
            </w:r>
            <w:r>
              <w:rPr>
                <w:rFonts w:hint="eastAsia" w:ascii="仿宋_GB2312" w:hAnsi="仿宋_GB2312" w:eastAsia="仿宋_GB2312" w:cs="仿宋_GB2312"/>
                <w:color w:val="000000"/>
                <w:sz w:val="24"/>
                <w:szCs w:val="24"/>
              </w:rPr>
              <w:t>中国传统节日习惯的用品和职工群众必须的生活用品</w:t>
            </w:r>
          </w:p>
        </w:tc>
        <w:tc>
          <w:tcPr>
            <w:tcW w:w="2387" w:type="dxa"/>
            <w:vAlign w:val="center"/>
          </w:tcPr>
          <w:p>
            <w:pPr>
              <w:snapToGrid w:val="0"/>
              <w:spacing w:line="40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结算价格</w:t>
            </w:r>
            <w:r>
              <w:rPr>
                <w:rFonts w:hint="eastAsia" w:ascii="仿宋_GB2312" w:hAnsi="仿宋_GB2312" w:eastAsia="仿宋_GB2312" w:cs="仿宋_GB2312"/>
                <w:color w:val="000000"/>
                <w:sz w:val="24"/>
                <w:szCs w:val="24"/>
                <w:lang w:val="en-US" w:eastAsia="zh-CN"/>
              </w:rPr>
              <w:t>1000</w:t>
            </w:r>
            <w:r>
              <w:rPr>
                <w:rFonts w:hint="eastAsia" w:ascii="仿宋_GB2312" w:hAnsi="仿宋_GB2312" w:eastAsia="仿宋_GB2312" w:cs="仿宋_GB2312"/>
                <w:color w:val="000000"/>
                <w:sz w:val="24"/>
                <w:szCs w:val="24"/>
              </w:rPr>
              <w:t>元</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份</w:t>
            </w:r>
          </w:p>
        </w:tc>
        <w:tc>
          <w:tcPr>
            <w:tcW w:w="940" w:type="dxa"/>
            <w:vAlign w:val="center"/>
          </w:tcPr>
          <w:p>
            <w:pPr>
              <w:snapToGrid w:val="0"/>
              <w:spacing w:line="500" w:lineRule="exact"/>
              <w:jc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857</w:t>
            </w:r>
          </w:p>
        </w:tc>
        <w:tc>
          <w:tcPr>
            <w:tcW w:w="2149" w:type="dxa"/>
            <w:vAlign w:val="center"/>
          </w:tcPr>
          <w:p>
            <w:pPr>
              <w:snapToGrid w:val="0"/>
              <w:spacing w:line="5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食品、日用品等生活用品</w:t>
            </w:r>
          </w:p>
        </w:tc>
      </w:tr>
    </w:tbl>
    <w:p>
      <w:pPr>
        <w:spacing w:line="560" w:lineRule="exact"/>
        <w:ind w:firstLine="42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备注：（请投标人认真仔细阅读）</w:t>
      </w:r>
    </w:p>
    <w:p>
      <w:pPr>
        <w:snapToGrid w:val="0"/>
        <w:spacing w:line="560" w:lineRule="exact"/>
        <w:ind w:firstLine="482" w:firstLineChars="150"/>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w:t>
      </w:r>
      <w:r>
        <w:rPr>
          <w:rFonts w:hint="eastAsia" w:ascii="仿宋_GB2312" w:hAnsi="仿宋_GB2312" w:eastAsia="仿宋_GB2312" w:cs="仿宋_GB2312"/>
          <w:b/>
          <w:bCs/>
          <w:color w:val="000000"/>
          <w:sz w:val="32"/>
          <w:szCs w:val="32"/>
          <w:lang w:eastAsia="zh-CN"/>
        </w:rPr>
        <w:t>本项目分为</w:t>
      </w:r>
      <w:r>
        <w:rPr>
          <w:rFonts w:hint="eastAsia" w:ascii="仿宋_GB2312" w:hAnsi="仿宋_GB2312" w:eastAsia="仿宋_GB2312" w:cs="仿宋_GB2312"/>
          <w:b/>
          <w:bCs/>
          <w:color w:val="000000"/>
          <w:sz w:val="32"/>
          <w:szCs w:val="32"/>
          <w:lang w:val="en-US" w:eastAsia="zh-CN"/>
        </w:rPr>
        <w:t>3个标段，投标人可以选择其中一个标段或多个标段投标，兼投兼中，多标段投标的投标人需分标段制作和封装投标文件。</w:t>
      </w:r>
    </w:p>
    <w:p>
      <w:pPr>
        <w:snapToGrid w:val="0"/>
        <w:spacing w:line="560" w:lineRule="exact"/>
        <w:ind w:firstLine="422" w:firstLineChars="15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2</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b/>
          <w:bCs/>
          <w:color w:val="000000"/>
          <w:sz w:val="28"/>
          <w:szCs w:val="28"/>
          <w:lang w:eastAsia="zh-CN"/>
        </w:rPr>
        <w:t>预计</w:t>
      </w:r>
      <w:r>
        <w:rPr>
          <w:rFonts w:hint="eastAsia" w:ascii="仿宋_GB2312" w:hAnsi="仿宋_GB2312" w:eastAsia="仿宋_GB2312" w:cs="仿宋_GB2312"/>
          <w:b/>
          <w:bCs/>
          <w:color w:val="000000"/>
          <w:sz w:val="28"/>
          <w:szCs w:val="28"/>
          <w:lang w:val="en-US" w:eastAsia="zh-CN"/>
        </w:rPr>
        <w:t>857</w:t>
      </w:r>
      <w:r>
        <w:rPr>
          <w:rFonts w:hint="eastAsia" w:ascii="仿宋_GB2312" w:hAnsi="仿宋_GB2312" w:eastAsia="仿宋_GB2312" w:cs="仿宋_GB2312"/>
          <w:b/>
          <w:bCs/>
          <w:color w:val="000000"/>
          <w:sz w:val="28"/>
          <w:szCs w:val="28"/>
        </w:rPr>
        <w:t>份，</w:t>
      </w:r>
      <w:r>
        <w:rPr>
          <w:rFonts w:hint="eastAsia" w:ascii="仿宋_GB2312" w:hAnsi="仿宋_GB2312" w:eastAsia="仿宋_GB2312" w:cs="仿宋_GB2312"/>
          <w:b/>
          <w:bCs/>
          <w:color w:val="000000"/>
          <w:sz w:val="28"/>
          <w:szCs w:val="28"/>
          <w:lang w:eastAsia="zh-CN"/>
        </w:rPr>
        <w:t>按实结算</w:t>
      </w:r>
      <w:r>
        <w:rPr>
          <w:rFonts w:hint="eastAsia" w:ascii="仿宋_GB2312" w:hAnsi="仿宋_GB2312" w:eastAsia="仿宋_GB2312" w:cs="仿宋_GB2312"/>
          <w:b/>
          <w:bCs/>
          <w:color w:val="000000"/>
          <w:sz w:val="28"/>
          <w:szCs w:val="28"/>
        </w:rPr>
        <w:t>。</w:t>
      </w:r>
    </w:p>
    <w:p>
      <w:pPr>
        <w:snapToGrid w:val="0"/>
        <w:spacing w:line="560" w:lineRule="exact"/>
        <w:ind w:firstLine="422" w:firstLineChars="15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rPr>
        <w:t>、投标人提供的提货券面值应该在实际结算价上进行上浮，不接受低于或者等于实际结算价的投标报价。</w:t>
      </w:r>
    </w:p>
    <w:p>
      <w:pPr>
        <w:snapToGrid w:val="0"/>
        <w:spacing w:line="560" w:lineRule="exact"/>
        <w:ind w:firstLine="422" w:firstLineChars="15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4</w:t>
      </w:r>
      <w:r>
        <w:rPr>
          <w:rFonts w:hint="eastAsia" w:ascii="仿宋_GB2312" w:hAnsi="仿宋_GB2312" w:eastAsia="仿宋_GB2312" w:cs="仿宋_GB2312"/>
          <w:b/>
          <w:bCs/>
          <w:color w:val="000000"/>
          <w:sz w:val="28"/>
          <w:szCs w:val="28"/>
        </w:rPr>
        <w:t>、提货券必须在投标人所有的连锁经营店通用。</w:t>
      </w:r>
    </w:p>
    <w:p>
      <w:pPr>
        <w:snapToGrid w:val="0"/>
        <w:spacing w:line="560" w:lineRule="exact"/>
        <w:ind w:firstLine="422" w:firstLineChars="150"/>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5、本次招标，每个标段确定4名中标人，由我校教职工在4名中标人中按中标报价自由选择，任何一方中标人都不得以实际</w:t>
      </w:r>
      <w:r>
        <w:rPr>
          <w:rFonts w:hint="eastAsia" w:ascii="仿宋_GB2312" w:hAnsi="仿宋_GB2312" w:eastAsia="仿宋_GB2312" w:cs="仿宋_GB2312"/>
          <w:b/>
          <w:bCs/>
          <w:color w:val="000000"/>
          <w:sz w:val="28"/>
          <w:szCs w:val="28"/>
        </w:rPr>
        <w:t>提货券</w:t>
      </w:r>
      <w:r>
        <w:rPr>
          <w:rFonts w:hint="eastAsia" w:ascii="仿宋_GB2312" w:hAnsi="仿宋_GB2312" w:eastAsia="仿宋_GB2312" w:cs="仿宋_GB2312"/>
          <w:b/>
          <w:bCs/>
          <w:color w:val="000000"/>
          <w:sz w:val="28"/>
          <w:szCs w:val="28"/>
          <w:lang w:val="en-US" w:eastAsia="zh-CN"/>
        </w:rPr>
        <w:t>数量向招标人提出任何异议。</w:t>
      </w:r>
    </w:p>
    <w:p>
      <w:pPr>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二、投标人须具备的资格条件（报名和开标时需携带资格条件中要求的复印件加盖公章</w:t>
      </w:r>
      <w:r>
        <w:rPr>
          <w:rFonts w:hint="eastAsia" w:ascii="仿宋_GB2312" w:hAnsi="仿宋_GB2312" w:eastAsia="仿宋_GB2312" w:cs="仿宋_GB2312"/>
          <w:b/>
          <w:bCs/>
          <w:color w:val="000000"/>
          <w:sz w:val="28"/>
          <w:szCs w:val="28"/>
          <w:lang w:eastAsia="zh-CN"/>
        </w:rPr>
        <w:t>，原件备查</w:t>
      </w:r>
      <w:r>
        <w:rPr>
          <w:rFonts w:hint="eastAsia" w:ascii="仿宋_GB2312" w:hAnsi="仿宋_GB2312" w:eastAsia="仿宋_GB2312" w:cs="仿宋_GB2312"/>
          <w:b/>
          <w:bCs/>
          <w:color w:val="000000"/>
          <w:sz w:val="28"/>
          <w:szCs w:val="28"/>
        </w:rPr>
        <w:t>）</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在中华人民共和国境内注册，符合《中华人民共和国政府招标法》第二十二条之规定。</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投标人必须具有独立承担民事责任的能力的独立法人资格，具有营业执照。</w:t>
      </w:r>
    </w:p>
    <w:p>
      <w:pPr>
        <w:spacing w:line="560" w:lineRule="exact"/>
        <w:ind w:firstLine="42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为盐城市区范围内的大型超市，在盐城市区有固定的经营场所，有适应项目需要的专业技术人员，具备相关项目的供货能力和售后服务能力，具有良好的商业信誉和财务状况。</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提供参加本次政府采购活动前三年内，没有重大违法、违纪记录的声明；</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投标人</w:t>
      </w:r>
      <w:r>
        <w:rPr>
          <w:rFonts w:hint="eastAsia" w:ascii="仿宋_GB2312" w:hAnsi="仿宋_GB2312" w:eastAsia="仿宋_GB2312" w:cs="仿宋_GB2312"/>
          <w:b/>
          <w:bCs/>
          <w:color w:val="000000"/>
          <w:sz w:val="32"/>
          <w:szCs w:val="32"/>
        </w:rPr>
        <w:t>报名和开标时</w:t>
      </w:r>
      <w:r>
        <w:rPr>
          <w:rFonts w:hint="eastAsia" w:ascii="仿宋_GB2312" w:hAnsi="仿宋_GB2312" w:eastAsia="仿宋_GB2312" w:cs="仿宋_GB2312"/>
          <w:color w:val="000000"/>
          <w:sz w:val="28"/>
          <w:szCs w:val="28"/>
        </w:rPr>
        <w:t>必须携带有效期内</w:t>
      </w:r>
      <w:r>
        <w:rPr>
          <w:rFonts w:hint="eastAsia" w:ascii="仿宋_GB2312" w:hAnsi="仿宋_GB2312" w:eastAsia="仿宋_GB2312" w:cs="仿宋_GB2312"/>
          <w:b/>
          <w:bCs/>
          <w:color w:val="000000"/>
          <w:sz w:val="28"/>
          <w:szCs w:val="28"/>
          <w:u w:val="single"/>
        </w:rPr>
        <w:t>食品经营许可证或者有效期内食品流通许可证（复印件盖公章）、营业执照（复印件盖公章）、法定代表人（盖章）的授权委托书、法定代表人身份证复印件（盖单位公章）、法定代表人身份证原件（委托的就携带法定代表人授权的委托人的身份证原件，复印件盖单位公章）。</w:t>
      </w:r>
      <w:r>
        <w:rPr>
          <w:rFonts w:hint="eastAsia" w:ascii="仿宋_GB2312" w:hAnsi="仿宋_GB2312" w:eastAsia="仿宋_GB2312" w:cs="仿宋_GB2312"/>
          <w:b/>
          <w:bCs/>
          <w:color w:val="000000"/>
          <w:sz w:val="32"/>
          <w:szCs w:val="32"/>
          <w:lang w:eastAsia="zh-CN"/>
        </w:rPr>
        <w:t>（原件备查）</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三、招标内容及要求</w:t>
      </w:r>
    </w:p>
    <w:p>
      <w:pPr>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．招标内容：中国传统节日习惯的用品和职工群众必须的生活用品（食品、日用品等生活用品）。</w:t>
      </w:r>
    </w:p>
    <w:p>
      <w:pPr>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．质量标准：按国家质量认证体系标准，符合招标文件规定要求。</w:t>
      </w:r>
    </w:p>
    <w:p>
      <w:pPr>
        <w:spacing w:line="560" w:lineRule="exact"/>
        <w:ind w:firstLine="562"/>
        <w:rPr>
          <w:rFonts w:ascii="仿宋_GB2312" w:hAnsi="仿宋_GB2312" w:eastAsia="仿宋_GB2312" w:cs="仿宋_GB2312"/>
          <w:b/>
          <w:bCs/>
          <w:color w:val="000000"/>
          <w:sz w:val="28"/>
          <w:szCs w:val="28"/>
          <w:u w:val="single"/>
        </w:rPr>
      </w:pPr>
      <w:r>
        <w:rPr>
          <w:rFonts w:ascii="仿宋_GB2312" w:hAnsi="仿宋_GB2312" w:eastAsia="仿宋_GB2312" w:cs="仿宋_GB2312"/>
          <w:b/>
          <w:bCs/>
          <w:color w:val="000000"/>
          <w:sz w:val="28"/>
          <w:szCs w:val="28"/>
          <w:u w:val="single"/>
        </w:rPr>
        <w:t>3</w:t>
      </w:r>
      <w:r>
        <w:rPr>
          <w:rFonts w:hint="eastAsia"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eastAsia="zh-CN"/>
        </w:rPr>
        <w:t>标段一、标段二</w:t>
      </w:r>
      <w:r>
        <w:rPr>
          <w:rFonts w:hint="eastAsia" w:ascii="仿宋_GB2312" w:hAnsi="仿宋_GB2312" w:eastAsia="仿宋_GB2312" w:cs="仿宋_GB2312"/>
          <w:b/>
          <w:bCs/>
          <w:color w:val="000000"/>
          <w:sz w:val="28"/>
          <w:szCs w:val="28"/>
          <w:u w:val="single"/>
        </w:rPr>
        <w:t>预算金额：</w:t>
      </w:r>
      <w:r>
        <w:rPr>
          <w:rFonts w:hint="eastAsia" w:ascii="仿宋_GB2312" w:hAnsi="仿宋_GB2312" w:eastAsia="仿宋_GB2312" w:cs="仿宋_GB2312"/>
          <w:b/>
          <w:bCs/>
          <w:color w:val="000000"/>
          <w:sz w:val="28"/>
          <w:szCs w:val="28"/>
          <w:u w:val="single"/>
          <w:lang w:val="en-US" w:eastAsia="zh-CN"/>
        </w:rPr>
        <w:t>400</w:t>
      </w:r>
      <w:r>
        <w:rPr>
          <w:rFonts w:hint="eastAsia" w:ascii="仿宋_GB2312" w:hAnsi="仿宋_GB2312" w:eastAsia="仿宋_GB2312" w:cs="仿宋_GB2312"/>
          <w:b/>
          <w:bCs/>
          <w:color w:val="000000"/>
          <w:sz w:val="28"/>
          <w:szCs w:val="28"/>
          <w:u w:val="single"/>
        </w:rPr>
        <w:t>元</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rPr>
        <w:t>份</w:t>
      </w:r>
      <w:r>
        <w:rPr>
          <w:rFonts w:hint="eastAsia" w:ascii="仿宋_GB2312" w:hAnsi="仿宋_GB2312" w:eastAsia="仿宋_GB2312" w:cs="仿宋_GB2312"/>
          <w:b/>
          <w:bCs/>
          <w:color w:val="000000"/>
          <w:sz w:val="28"/>
          <w:szCs w:val="28"/>
          <w:u w:val="single"/>
          <w:lang w:eastAsia="zh-CN"/>
        </w:rPr>
        <w:t>；标段三预算金额</w:t>
      </w:r>
      <w:r>
        <w:rPr>
          <w:rFonts w:hint="eastAsia" w:ascii="仿宋_GB2312" w:hAnsi="仿宋_GB2312" w:eastAsia="仿宋_GB2312" w:cs="仿宋_GB2312"/>
          <w:b/>
          <w:bCs/>
          <w:color w:val="000000"/>
          <w:sz w:val="28"/>
          <w:szCs w:val="28"/>
          <w:u w:val="single"/>
          <w:lang w:val="en-US" w:eastAsia="zh-CN"/>
        </w:rPr>
        <w:t>1000元/份</w:t>
      </w:r>
      <w:r>
        <w:rPr>
          <w:rFonts w:hint="eastAsia" w:ascii="仿宋_GB2312" w:hAnsi="仿宋_GB2312" w:eastAsia="仿宋_GB2312" w:cs="仿宋_GB2312"/>
          <w:b/>
          <w:bCs/>
          <w:color w:val="000000"/>
          <w:sz w:val="28"/>
          <w:szCs w:val="28"/>
          <w:u w:val="single"/>
        </w:rPr>
        <w:t>。</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eastAsia="zh-CN"/>
        </w:rPr>
        <w:t>四</w:t>
      </w:r>
      <w:r>
        <w:rPr>
          <w:rFonts w:hint="eastAsia" w:ascii="仿宋_GB2312" w:hAnsi="仿宋_GB2312" w:eastAsia="仿宋_GB2312" w:cs="仿宋_GB2312"/>
          <w:b/>
          <w:bCs/>
          <w:color w:val="000000"/>
          <w:sz w:val="28"/>
          <w:szCs w:val="28"/>
        </w:rPr>
        <w:t>、报名、招标文件发售、投标文件递交截止时间、开标时间及地点、质询</w:t>
      </w:r>
    </w:p>
    <w:p>
      <w:pPr>
        <w:shd w:val="clear" w:color="000000" w:fill="FFFFFF"/>
        <w:spacing w:line="560" w:lineRule="exact"/>
        <w:ind w:firstLine="560"/>
        <w:rPr>
          <w:rFonts w:ascii="仿宋_GB2312" w:hAnsi="仿宋_GB2312" w:eastAsia="仿宋_GB2312" w:cs="仿宋_GB2312"/>
          <w:b/>
          <w:bCs/>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 xml:space="preserve">— </w:t>
      </w:r>
      <w:r>
        <w:rPr>
          <w:rFonts w:hint="eastAsia" w:ascii="仿宋_GB2312" w:hAnsi="仿宋_GB2312" w:eastAsia="仿宋_GB2312" w:cs="仿宋_GB2312"/>
          <w:b/>
          <w:bCs/>
          <w:color w:val="000000"/>
          <w:sz w:val="28"/>
          <w:szCs w:val="28"/>
          <w:u w:val="single"/>
          <w:lang w:val="en-US" w:eastAsia="zh-CN"/>
        </w:rPr>
        <w:t>2021年6</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投标文件递交截止时间及开标时间：</w:t>
      </w:r>
      <w:r>
        <w:rPr>
          <w:rFonts w:ascii="仿宋_GB2312" w:hAnsi="仿宋_GB2312" w:eastAsia="仿宋_GB2312" w:cs="仿宋_GB2312"/>
          <w:b/>
          <w:color w:val="000000"/>
          <w:sz w:val="28"/>
          <w:szCs w:val="28"/>
          <w:u w:val="single"/>
        </w:rPr>
        <w:t>20</w:t>
      </w:r>
      <w:r>
        <w:rPr>
          <w:rFonts w:hint="eastAsia" w:ascii="仿宋_GB2312" w:hAnsi="仿宋_GB2312" w:eastAsia="仿宋_GB2312" w:cs="仿宋_GB2312"/>
          <w:b/>
          <w:color w:val="000000"/>
          <w:sz w:val="28"/>
          <w:szCs w:val="28"/>
          <w:u w:val="single"/>
          <w:lang w:val="en-US" w:eastAsia="zh-CN"/>
        </w:rPr>
        <w:t>21</w:t>
      </w:r>
      <w:r>
        <w:rPr>
          <w:rFonts w:hint="eastAsia" w:ascii="仿宋_GB2312" w:hAnsi="仿宋_GB2312" w:eastAsia="仿宋_GB2312" w:cs="仿宋_GB2312"/>
          <w:b/>
          <w:color w:val="000000"/>
          <w:sz w:val="28"/>
          <w:szCs w:val="28"/>
          <w:u w:val="single"/>
        </w:rPr>
        <w:t>年</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月</w:t>
      </w:r>
      <w:r>
        <w:rPr>
          <w:rFonts w:hint="eastAsia" w:ascii="仿宋_GB2312" w:hAnsi="仿宋_GB2312" w:eastAsia="仿宋_GB2312" w:cs="仿宋_GB2312"/>
          <w:b/>
          <w:color w:val="000000"/>
          <w:sz w:val="28"/>
          <w:szCs w:val="28"/>
          <w:u w:val="single"/>
          <w:lang w:val="en-US" w:eastAsia="zh-CN"/>
        </w:rPr>
        <w:t>3</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15</w:t>
      </w:r>
      <w:r>
        <w:rPr>
          <w:rFonts w:hint="eastAsia" w:ascii="仿宋_GB2312" w:hAnsi="仿宋_GB2312" w:eastAsia="仿宋_GB2312" w:cs="仿宋_GB2312"/>
          <w:b/>
          <w:color w:val="000000"/>
          <w:sz w:val="28"/>
          <w:szCs w:val="28"/>
          <w:u w:val="single"/>
        </w:rPr>
        <w:t>时</w:t>
      </w:r>
      <w:r>
        <w:rPr>
          <w:rFonts w:hint="eastAsia" w:ascii="仿宋_GB2312" w:hAnsi="仿宋_GB2312" w:eastAsia="仿宋_GB2312" w:cs="仿宋_GB2312"/>
          <w:b/>
          <w:color w:val="000000"/>
          <w:sz w:val="28"/>
          <w:szCs w:val="28"/>
          <w:u w:val="single"/>
          <w:lang w:val="en-US" w:eastAsia="zh-CN"/>
        </w:rPr>
        <w:t>0</w:t>
      </w:r>
      <w:r>
        <w:rPr>
          <w:rFonts w:ascii="仿宋_GB2312" w:hAnsi="仿宋_GB2312" w:eastAsia="仿宋_GB2312" w:cs="仿宋_GB2312"/>
          <w:b/>
          <w:color w:val="000000"/>
          <w:sz w:val="28"/>
          <w:szCs w:val="28"/>
          <w:u w:val="single"/>
        </w:rPr>
        <w:t>0</w:t>
      </w:r>
      <w:r>
        <w:rPr>
          <w:rFonts w:hint="eastAsia" w:ascii="仿宋_GB2312" w:hAnsi="仿宋_GB2312" w:eastAsia="仿宋_GB2312" w:cs="仿宋_GB2312"/>
          <w:b/>
          <w:color w:val="000000"/>
          <w:sz w:val="28"/>
          <w:szCs w:val="28"/>
          <w:u w:val="single"/>
        </w:rPr>
        <w:t>分</w:t>
      </w:r>
      <w:r>
        <w:rPr>
          <w:rFonts w:ascii="仿宋_GB2312" w:hAnsi="仿宋_GB2312" w:eastAsia="仿宋_GB2312" w:cs="仿宋_GB2312"/>
          <w:b/>
          <w:color w:val="000000"/>
          <w:sz w:val="28"/>
          <w:szCs w:val="28"/>
          <w:u w:val="single"/>
        </w:rPr>
        <w:t>00</w:t>
      </w:r>
      <w:r>
        <w:rPr>
          <w:rFonts w:hint="eastAsia" w:ascii="仿宋_GB2312" w:hAnsi="仿宋_GB2312" w:eastAsia="仿宋_GB2312" w:cs="仿宋_GB2312"/>
          <w:b/>
          <w:color w:val="000000"/>
          <w:sz w:val="28"/>
          <w:szCs w:val="28"/>
          <w:u w:val="single"/>
        </w:rPr>
        <w:t>秒；</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shd w:val="clear" w:color="000000" w:fill="FFFFFF"/>
        <w:spacing w:line="560" w:lineRule="exact"/>
        <w:ind w:firstLine="56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招标质询：招标人在投标文件递交截止时间前随时接受质询。联系人：杨老师</w:t>
      </w:r>
      <w:r>
        <w:rPr>
          <w:rFonts w:ascii="仿宋_GB2312" w:hAnsi="仿宋_GB2312" w:eastAsia="仿宋_GB2312" w:cs="仿宋_GB2312"/>
          <w:color w:val="000000"/>
          <w:sz w:val="28"/>
          <w:szCs w:val="28"/>
        </w:rPr>
        <w:t xml:space="preserve">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lang w:eastAsia="zh-CN"/>
        </w:rPr>
        <w:t>五</w:t>
      </w:r>
      <w:r>
        <w:rPr>
          <w:rFonts w:hint="eastAsia" w:ascii="黑体" w:hAnsi="黑体" w:eastAsia="黑体" w:cs="黑体"/>
          <w:b/>
          <w:bCs/>
          <w:sz w:val="28"/>
          <w:szCs w:val="28"/>
        </w:rPr>
        <w:t>、期望得到的协助与配合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六、疫情防控要求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pacing w:before="156" w:after="156" w:line="480" w:lineRule="exact"/>
        <w:jc w:val="center"/>
        <w:rPr>
          <w:rFonts w:ascii="仿宋_GB2312" w:hAnsi="仿宋_GB2312" w:eastAsia="仿宋_GB2312" w:cs="仿宋_GB2312"/>
          <w:color w:val="000000"/>
          <w:sz w:val="44"/>
        </w:rPr>
      </w:pPr>
    </w:p>
    <w:p>
      <w:pPr>
        <w:pStyle w:val="10"/>
        <w:rPr>
          <w:rFonts w:ascii="仿宋_GB2312" w:hAnsi="仿宋_GB2312" w:eastAsia="仿宋_GB2312" w:cs="仿宋_GB2312"/>
          <w:color w:val="000000"/>
          <w:sz w:val="44"/>
        </w:rPr>
      </w:pPr>
    </w:p>
    <w:p>
      <w:pPr>
        <w:pStyle w:val="10"/>
        <w:rPr>
          <w:rFonts w:ascii="仿宋_GB2312" w:hAnsi="仿宋_GB2312" w:eastAsia="仿宋_GB2312" w:cs="仿宋_GB2312"/>
          <w:color w:val="000000"/>
          <w:sz w:val="44"/>
        </w:rPr>
      </w:pPr>
    </w:p>
    <w:p>
      <w:pPr>
        <w:pStyle w:val="10"/>
        <w:rPr>
          <w:rFonts w:ascii="仿宋_GB2312" w:hAnsi="仿宋_GB2312" w:eastAsia="仿宋_GB2312" w:cs="仿宋_GB2312"/>
          <w:color w:val="000000"/>
          <w:sz w:val="44"/>
        </w:rPr>
      </w:pPr>
    </w:p>
    <w:p>
      <w:pPr>
        <w:pStyle w:val="10"/>
        <w:rPr>
          <w:rFonts w:ascii="仿宋_GB2312" w:hAnsi="仿宋_GB2312" w:eastAsia="仿宋_GB2312" w:cs="仿宋_GB2312"/>
          <w:color w:val="000000"/>
          <w:sz w:val="44"/>
        </w:rPr>
      </w:pPr>
    </w:p>
    <w:p>
      <w:pPr>
        <w:pStyle w:val="10"/>
        <w:rPr>
          <w:rFonts w:ascii="仿宋_GB2312" w:hAnsi="仿宋_GB2312" w:eastAsia="仿宋_GB2312" w:cs="仿宋_GB2312"/>
          <w:color w:val="000000"/>
          <w:sz w:val="44"/>
        </w:rPr>
      </w:pPr>
    </w:p>
    <w:p>
      <w:pPr>
        <w:spacing w:before="156" w:after="156" w:line="480" w:lineRule="exact"/>
        <w:jc w:val="both"/>
        <w:rPr>
          <w:rFonts w:ascii="仿宋_GB2312" w:hAnsi="仿宋_GB2312" w:eastAsia="仿宋_GB2312" w:cs="仿宋_GB2312"/>
          <w:color w:val="000000"/>
          <w:sz w:val="44"/>
        </w:rPr>
      </w:pPr>
      <w:bookmarkStart w:id="0" w:name="_GoBack"/>
      <w:bookmarkEnd w:id="0"/>
    </w:p>
    <w:p>
      <w:pPr>
        <w:spacing w:line="520" w:lineRule="exact"/>
        <w:rPr>
          <w:rFonts w:ascii="仿宋_GB2312" w:hAnsi="仿宋_GB2312" w:eastAsia="仿宋_GB2312" w:cs="仿宋_GB2312"/>
          <w:color w:val="000000"/>
          <w:sz w:val="44"/>
          <w:szCs w:val="44"/>
        </w:rPr>
      </w:pPr>
    </w:p>
    <w:sectPr>
      <w:headerReference r:id="rId3" w:type="default"/>
      <w:footerReference r:id="rId4" w:type="default"/>
      <w:endnotePr>
        <w:numFmt w:val="decimal"/>
      </w:endnotePr>
      <w:pgSz w:w="11906" w:h="16838"/>
      <w:pgMar w:top="1440" w:right="1800" w:bottom="1440" w:left="180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altName w:val="Palatino Linotype"/>
    <w:panose1 w:val="02040503050406030204"/>
    <w:charset w:val="00"/>
    <w:family w:val="roman"/>
    <w:pitch w:val="default"/>
    <w:sig w:usb0="00000000" w:usb1="00000000" w:usb2="00000000"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Text Box 1026" o:spid="_x0000_s4097" o:spt="1" style="position:absolute;left:0pt;margin-top:0pt;height:11.65pt;width:72.2pt;mso-position-horizontal:center;mso-position-horizontal-relative:margin;mso-wrap-style:none;z-index:251658240;mso-width-relative:page;mso-height-relative:page;" filled="f" stroked="f" coordsize="21600,21600" o:allowincell="f">
          <v:path/>
          <v:fill on="f" focussize="0,0"/>
          <v:stroke on="f"/>
          <v:imagedata o:title=""/>
          <o:lock v:ext="edit"/>
          <v:textbox inset="0mm,0mm,0mm,0mm" style="mso-fit-shape-to-text:t;">
            <w:txbxContent>
              <w:p>
                <w:r>
                  <w:rPr>
                    <w:rFonts w:hint="eastAsia"/>
                  </w:rPr>
                  <w:t>第</w:t>
                </w:r>
                <w:r>
                  <w:t xml:space="preserve"> </w:t>
                </w:r>
                <w:r>
                  <w:fldChar w:fldCharType="begin"/>
                </w:r>
                <w:r>
                  <w:instrText xml:space="preserve"> PAGE \* Arabic </w:instrText>
                </w:r>
                <w:r>
                  <w:fldChar w:fldCharType="separate"/>
                </w:r>
                <w:r>
                  <w:t>4</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Arabic </w:instrText>
                </w:r>
                <w:r>
                  <w:fldChar w:fldCharType="separate"/>
                </w:r>
                <w:r>
                  <w:t>19</w:t>
                </w:r>
                <w:r>
                  <w:fldChar w:fldCharType="end"/>
                </w:r>
                <w:r>
                  <w:t xml:space="preserve"> </w:t>
                </w:r>
                <w:r>
                  <w:rPr>
                    <w:rFonts w:hint="eastAsia"/>
                  </w:rPr>
                  <w:t>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3,4"/>
    </o:shapelayout>
  </w:hdrShapeDefaults>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237AB7"/>
    <w:rsid w:val="000D4FBE"/>
    <w:rsid w:val="00183D74"/>
    <w:rsid w:val="001C6241"/>
    <w:rsid w:val="002226FD"/>
    <w:rsid w:val="00237AB7"/>
    <w:rsid w:val="003422B5"/>
    <w:rsid w:val="00342968"/>
    <w:rsid w:val="003471E1"/>
    <w:rsid w:val="0051568D"/>
    <w:rsid w:val="00570302"/>
    <w:rsid w:val="00644AC4"/>
    <w:rsid w:val="008247AA"/>
    <w:rsid w:val="00837DE5"/>
    <w:rsid w:val="00847160"/>
    <w:rsid w:val="008701F7"/>
    <w:rsid w:val="009274D8"/>
    <w:rsid w:val="0095778B"/>
    <w:rsid w:val="00A15DA6"/>
    <w:rsid w:val="00AC2C5A"/>
    <w:rsid w:val="00AD795F"/>
    <w:rsid w:val="00C709A0"/>
    <w:rsid w:val="00DA4ADA"/>
    <w:rsid w:val="00DA6F0C"/>
    <w:rsid w:val="00E02CA9"/>
    <w:rsid w:val="00E275AF"/>
    <w:rsid w:val="00E61982"/>
    <w:rsid w:val="02E81DEA"/>
    <w:rsid w:val="059F660D"/>
    <w:rsid w:val="05DB13A0"/>
    <w:rsid w:val="08090E24"/>
    <w:rsid w:val="0D547CC7"/>
    <w:rsid w:val="0E4B3DBB"/>
    <w:rsid w:val="0FBC185B"/>
    <w:rsid w:val="14C8570F"/>
    <w:rsid w:val="1CAC149F"/>
    <w:rsid w:val="1DEF2F04"/>
    <w:rsid w:val="1DFF46D8"/>
    <w:rsid w:val="1E77C1FE"/>
    <w:rsid w:val="23281934"/>
    <w:rsid w:val="245F106A"/>
    <w:rsid w:val="24D44BFB"/>
    <w:rsid w:val="277B72AA"/>
    <w:rsid w:val="28C47F40"/>
    <w:rsid w:val="299A470B"/>
    <w:rsid w:val="2CEB4101"/>
    <w:rsid w:val="2E732548"/>
    <w:rsid w:val="2EA07972"/>
    <w:rsid w:val="32A5159B"/>
    <w:rsid w:val="35B833C6"/>
    <w:rsid w:val="36595244"/>
    <w:rsid w:val="3B9C7B02"/>
    <w:rsid w:val="3BE62A6C"/>
    <w:rsid w:val="3C7F45F6"/>
    <w:rsid w:val="3D170626"/>
    <w:rsid w:val="3E6316D2"/>
    <w:rsid w:val="3E852E61"/>
    <w:rsid w:val="3FBF84B3"/>
    <w:rsid w:val="3FBF9F63"/>
    <w:rsid w:val="3FF78EFB"/>
    <w:rsid w:val="41865A3F"/>
    <w:rsid w:val="438E4917"/>
    <w:rsid w:val="43B628D4"/>
    <w:rsid w:val="440663B0"/>
    <w:rsid w:val="44851921"/>
    <w:rsid w:val="462614F0"/>
    <w:rsid w:val="48764FF1"/>
    <w:rsid w:val="49EC4F47"/>
    <w:rsid w:val="4ADF3327"/>
    <w:rsid w:val="4D9C1289"/>
    <w:rsid w:val="4E022A9E"/>
    <w:rsid w:val="4EB94FF9"/>
    <w:rsid w:val="4F5874C2"/>
    <w:rsid w:val="50B869A9"/>
    <w:rsid w:val="52381EAF"/>
    <w:rsid w:val="52412BE0"/>
    <w:rsid w:val="54BA4A9B"/>
    <w:rsid w:val="57780D39"/>
    <w:rsid w:val="5B533C5D"/>
    <w:rsid w:val="5B730290"/>
    <w:rsid w:val="5BFFA5F3"/>
    <w:rsid w:val="5DF3DCB2"/>
    <w:rsid w:val="5FFDE51E"/>
    <w:rsid w:val="5FFE2FAE"/>
    <w:rsid w:val="608164C6"/>
    <w:rsid w:val="64A22CC1"/>
    <w:rsid w:val="65CFC77F"/>
    <w:rsid w:val="68F16C18"/>
    <w:rsid w:val="6B1E7B93"/>
    <w:rsid w:val="6BBB50E5"/>
    <w:rsid w:val="6BC767B1"/>
    <w:rsid w:val="6CB81EF4"/>
    <w:rsid w:val="6D06609A"/>
    <w:rsid w:val="6DB927C7"/>
    <w:rsid w:val="6E7D614B"/>
    <w:rsid w:val="6F6E7A1A"/>
    <w:rsid w:val="712A0B3A"/>
    <w:rsid w:val="716C1FBA"/>
    <w:rsid w:val="71994CE6"/>
    <w:rsid w:val="71CD1979"/>
    <w:rsid w:val="72301820"/>
    <w:rsid w:val="75A46398"/>
    <w:rsid w:val="76AF01D4"/>
    <w:rsid w:val="770A3B4D"/>
    <w:rsid w:val="777F68F2"/>
    <w:rsid w:val="787F2404"/>
    <w:rsid w:val="79D01E1A"/>
    <w:rsid w:val="7A1802E7"/>
    <w:rsid w:val="7BDBFC21"/>
    <w:rsid w:val="7EFEF6F1"/>
    <w:rsid w:val="7F4867A4"/>
    <w:rsid w:val="7F4C1F36"/>
    <w:rsid w:val="7FF6A8B5"/>
    <w:rsid w:val="7FFE3C5A"/>
    <w:rsid w:val="8EF76CA8"/>
    <w:rsid w:val="A6F79819"/>
    <w:rsid w:val="AEE95F16"/>
    <w:rsid w:val="B5D40F7C"/>
    <w:rsid w:val="B977AE71"/>
    <w:rsid w:val="BEDFE56E"/>
    <w:rsid w:val="BFFB47D4"/>
    <w:rsid w:val="CB637449"/>
    <w:rsid w:val="D9FF53AE"/>
    <w:rsid w:val="DD5694AF"/>
    <w:rsid w:val="DDDB93ED"/>
    <w:rsid w:val="DEDF7FFD"/>
    <w:rsid w:val="DFF3BB21"/>
    <w:rsid w:val="EBDB1CCD"/>
    <w:rsid w:val="EE6F7C3E"/>
    <w:rsid w:val="EED743C3"/>
    <w:rsid w:val="EF5FB1DC"/>
    <w:rsid w:val="EFEF4389"/>
    <w:rsid w:val="EFFA62B5"/>
    <w:rsid w:val="F496A784"/>
    <w:rsid w:val="F5FD03CE"/>
    <w:rsid w:val="F6FA4B0A"/>
    <w:rsid w:val="FB9FC34C"/>
    <w:rsid w:val="FDFFF787"/>
    <w:rsid w:val="FE7EA87D"/>
    <w:rsid w:val="FEE24BE0"/>
    <w:rsid w:val="FFBF18A4"/>
    <w:rsid w:val="FFBF8C76"/>
    <w:rsid w:val="FFCF67AD"/>
    <w:rsid w:val="FFDA774D"/>
    <w:rsid w:val="FFEFD9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1"/>
      <w:sz w:val="21"/>
      <w:szCs w:val="22"/>
      <w:lang w:val="en-US" w:eastAsia="zh-CN" w:bidi="ar-SA"/>
    </w:rPr>
  </w:style>
  <w:style w:type="paragraph" w:styleId="3">
    <w:name w:val="heading 1"/>
    <w:basedOn w:val="1"/>
    <w:next w:val="1"/>
    <w:link w:val="14"/>
    <w:qFormat/>
    <w:uiPriority w:val="99"/>
    <w:pPr>
      <w:keepNext/>
      <w:keepLines/>
      <w:spacing w:before="340" w:after="330" w:line="360" w:lineRule="auto"/>
      <w:jc w:val="center"/>
      <w:outlineLvl w:val="0"/>
    </w:pPr>
    <w:rPr>
      <w:rFonts w:ascii="Times New Roman" w:hAnsi="Times New Roman"/>
      <w:b/>
      <w:bCs/>
      <w:sz w:val="44"/>
      <w:szCs w:val="44"/>
    </w:rPr>
  </w:style>
  <w:style w:type="paragraph" w:styleId="4">
    <w:name w:val="heading 2"/>
    <w:basedOn w:val="1"/>
    <w:next w:val="1"/>
    <w:link w:val="15"/>
    <w:qFormat/>
    <w:uiPriority w:val="99"/>
    <w:pPr>
      <w:keepNext/>
      <w:keepLines/>
      <w:spacing w:before="260" w:after="260" w:line="415"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widowControl w:val="0"/>
      <w:shd w:val="clear" w:color="auto" w:fill="auto"/>
      <w:adjustRightInd w:val="0"/>
      <w:spacing w:before="0" w:after="0"/>
      <w:ind w:left="0" w:right="0" w:firstLine="0" w:firstLineChars="0"/>
      <w:jc w:val="both"/>
    </w:pPr>
    <w:rPr>
      <w:rFonts w:ascii="仿宋_GB2312" w:hAnsi="仿宋_GB2312" w:eastAsia="等线 Light" w:cs="Arial"/>
      <w:kern w:val="2"/>
      <w:sz w:val="21"/>
      <w:szCs w:val="22"/>
      <w:lang w:val="en-US" w:eastAsia="zh-CN" w:bidi="ar-SA"/>
    </w:rPr>
  </w:style>
  <w:style w:type="paragraph" w:styleId="5">
    <w:name w:val="Body Text"/>
    <w:basedOn w:val="1"/>
    <w:link w:val="16"/>
    <w:qFormat/>
    <w:uiPriority w:val="99"/>
    <w:pPr>
      <w:spacing w:after="120"/>
    </w:pPr>
  </w:style>
  <w:style w:type="paragraph" w:styleId="6">
    <w:name w:val="Body Text Indent"/>
    <w:basedOn w:val="1"/>
    <w:link w:val="18"/>
    <w:qFormat/>
    <w:uiPriority w:val="99"/>
    <w:pPr>
      <w:ind w:left="-105" w:firstLine="232"/>
    </w:pPr>
    <w:rPr>
      <w:rFonts w:eastAsia="仿宋_GB2312"/>
      <w:sz w:val="32"/>
    </w:rPr>
  </w:style>
  <w:style w:type="paragraph" w:styleId="7">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8">
    <w:name w:val="footer"/>
    <w:basedOn w:val="1"/>
    <w:link w:val="19"/>
    <w:qFormat/>
    <w:uiPriority w:val="99"/>
    <w:pPr>
      <w:jc w:val="left"/>
    </w:pPr>
    <w:rPr>
      <w:sz w:val="18"/>
      <w:szCs w:val="18"/>
    </w:rPr>
  </w:style>
  <w:style w:type="paragraph" w:styleId="9">
    <w:name w:val="header"/>
    <w:basedOn w:val="1"/>
    <w:link w:val="20"/>
    <w:qFormat/>
    <w:uiPriority w:val="99"/>
    <w:pPr>
      <w:pBdr>
        <w:top w:val="none" w:color="000000" w:sz="0" w:space="3"/>
        <w:left w:val="none" w:color="000000" w:sz="0" w:space="3"/>
        <w:bottom w:val="single" w:color="000000" w:sz="6" w:space="1"/>
        <w:right w:val="none" w:color="000000" w:sz="0" w:space="3"/>
        <w:between w:val="none" w:color="000000" w:sz="0" w:space="0"/>
      </w:pBdr>
      <w:shd w:val="solid" w:color="auto" w:fill="auto"/>
      <w:jc w:val="center"/>
    </w:pPr>
    <w:rPr>
      <w:sz w:val="18"/>
      <w:szCs w:val="18"/>
    </w:rPr>
  </w:style>
  <w:style w:type="paragraph" w:styleId="10">
    <w:name w:val="Body Text First Indent"/>
    <w:basedOn w:val="5"/>
    <w:link w:val="17"/>
    <w:qFormat/>
    <w:uiPriority w:val="99"/>
    <w:pPr>
      <w:spacing w:after="0"/>
      <w:ind w:firstLine="420"/>
    </w:pPr>
  </w:style>
  <w:style w:type="character" w:styleId="13">
    <w:name w:val="Hyperlink"/>
    <w:basedOn w:val="12"/>
    <w:qFormat/>
    <w:uiPriority w:val="99"/>
    <w:rPr>
      <w:rFonts w:cs="Times New Roman"/>
      <w:color w:val="006699"/>
      <w:kern w:val="0"/>
      <w:sz w:val="20"/>
      <w:u w:val="single"/>
      <w:lang w:val="en-US" w:eastAsia="zh-CN"/>
    </w:rPr>
  </w:style>
  <w:style w:type="character" w:customStyle="1" w:styleId="14">
    <w:name w:val="标题 1 Char"/>
    <w:basedOn w:val="12"/>
    <w:link w:val="3"/>
    <w:uiPriority w:val="9"/>
    <w:rPr>
      <w:b/>
      <w:bCs/>
      <w:kern w:val="44"/>
      <w:sz w:val="44"/>
      <w:szCs w:val="44"/>
    </w:rPr>
  </w:style>
  <w:style w:type="character" w:customStyle="1" w:styleId="15">
    <w:name w:val="标题 2 Char"/>
    <w:basedOn w:val="12"/>
    <w:link w:val="4"/>
    <w:semiHidden/>
    <w:qFormat/>
    <w:uiPriority w:val="9"/>
    <w:rPr>
      <w:rFonts w:ascii="Cambria" w:hAnsi="Cambria" w:eastAsia="宋体" w:cs="Times New Roman"/>
      <w:b/>
      <w:bCs/>
      <w:kern w:val="1"/>
      <w:sz w:val="32"/>
      <w:szCs w:val="32"/>
    </w:rPr>
  </w:style>
  <w:style w:type="character" w:customStyle="1" w:styleId="16">
    <w:name w:val="正文文本 Char"/>
    <w:basedOn w:val="12"/>
    <w:link w:val="5"/>
    <w:semiHidden/>
    <w:qFormat/>
    <w:uiPriority w:val="99"/>
    <w:rPr>
      <w:kern w:val="1"/>
    </w:rPr>
  </w:style>
  <w:style w:type="character" w:customStyle="1" w:styleId="17">
    <w:name w:val="正文首行缩进 Char"/>
    <w:basedOn w:val="16"/>
    <w:link w:val="10"/>
    <w:semiHidden/>
    <w:uiPriority w:val="99"/>
  </w:style>
  <w:style w:type="character" w:customStyle="1" w:styleId="18">
    <w:name w:val="正文文本缩进 Char"/>
    <w:basedOn w:val="12"/>
    <w:link w:val="6"/>
    <w:semiHidden/>
    <w:qFormat/>
    <w:uiPriority w:val="99"/>
    <w:rPr>
      <w:kern w:val="1"/>
    </w:rPr>
  </w:style>
  <w:style w:type="character" w:customStyle="1" w:styleId="19">
    <w:name w:val="页脚 Char"/>
    <w:basedOn w:val="12"/>
    <w:link w:val="8"/>
    <w:semiHidden/>
    <w:qFormat/>
    <w:uiPriority w:val="99"/>
    <w:rPr>
      <w:kern w:val="1"/>
      <w:sz w:val="18"/>
      <w:szCs w:val="18"/>
    </w:rPr>
  </w:style>
  <w:style w:type="character" w:customStyle="1" w:styleId="20">
    <w:name w:val="页眉 Char"/>
    <w:basedOn w:val="12"/>
    <w:link w:val="9"/>
    <w:semiHidden/>
    <w:qFormat/>
    <w:uiPriority w:val="99"/>
    <w:rPr>
      <w:kern w:val="1"/>
      <w:sz w:val="18"/>
      <w:szCs w:val="18"/>
    </w:rPr>
  </w:style>
  <w:style w:type="character" w:customStyle="1" w:styleId="21">
    <w:name w:val="正文文本字符"/>
    <w:qFormat/>
    <w:uiPriority w:val="99"/>
    <w:rPr>
      <w:kern w:val="1"/>
      <w:sz w:val="22"/>
    </w:rPr>
  </w:style>
  <w:style w:type="character" w:customStyle="1" w:styleId="22">
    <w:name w:val="标题 2字符"/>
    <w:qFormat/>
    <w:uiPriority w:val="99"/>
    <w:rPr>
      <w:rFonts w:ascii="Arial" w:hAnsi="Arial" w:eastAsia="黑体"/>
      <w:b/>
      <w:kern w:val="1"/>
      <w:sz w:val="32"/>
    </w:rPr>
  </w:style>
  <w:style w:type="character" w:customStyle="1" w:styleId="23">
    <w:name w:val="页脚字符"/>
    <w:qFormat/>
    <w:uiPriority w:val="99"/>
    <w:rPr>
      <w:rFonts w:ascii="Calibri" w:hAnsi="Calibri"/>
      <w:kern w:val="1"/>
      <w:sz w:val="18"/>
    </w:rPr>
  </w:style>
  <w:style w:type="character" w:customStyle="1" w:styleId="24">
    <w:name w:val="正文首行缩进字符"/>
    <w:qFormat/>
    <w:uiPriority w:val="99"/>
    <w:rPr>
      <w:kern w:val="1"/>
      <w:sz w:val="22"/>
    </w:rPr>
  </w:style>
  <w:style w:type="character" w:customStyle="1" w:styleId="25">
    <w:name w:val="页眉字符"/>
    <w:qFormat/>
    <w:uiPriority w:val="99"/>
    <w:rPr>
      <w:rFonts w:ascii="Calibri" w:hAnsi="Calibri"/>
      <w:kern w:val="1"/>
      <w:sz w:val="18"/>
    </w:rPr>
  </w:style>
  <w:style w:type="paragraph" w:customStyle="1" w:styleId="26">
    <w:name w:val="正文空2格  1."/>
    <w:qFormat/>
    <w:uiPriority w:val="99"/>
    <w:pPr>
      <w:widowControl w:val="0"/>
      <w:spacing w:line="360" w:lineRule="auto"/>
      <w:ind w:firstLine="200"/>
      <w:jc w:val="both"/>
    </w:pPr>
    <w:rPr>
      <w:rFonts w:ascii="宋体" w:hAnsi="宋体" w:eastAsia="仿宋" w:cs="宋体"/>
      <w:kern w:val="1"/>
      <w:sz w:val="28"/>
      <w:lang w:val="en-US" w:eastAsia="zh-CN" w:bidi="ar-SA"/>
    </w:rPr>
  </w:style>
  <w:style w:type="paragraph" w:customStyle="1" w:styleId="27">
    <w:name w:val="正文 1.1.1"/>
    <w:qFormat/>
    <w:uiPriority w:val="99"/>
    <w:pPr>
      <w:widowControl w:val="0"/>
      <w:spacing w:line="360" w:lineRule="auto"/>
      <w:jc w:val="both"/>
      <w:outlineLvl w:val="2"/>
    </w:pPr>
    <w:rPr>
      <w:rFonts w:ascii="宋体" w:hAnsi="宋体" w:eastAsia="仿宋" w:cs="Times New Roman"/>
      <w:kern w:val="1"/>
      <w:sz w:val="28"/>
      <w:szCs w:val="21"/>
      <w:lang w:val="en-US" w:eastAsia="zh-CN" w:bidi="ar-SA"/>
    </w:rPr>
  </w:style>
  <w:style w:type="paragraph" w:customStyle="1" w:styleId="28">
    <w:name w:val="列出段落1"/>
    <w:qFormat/>
    <w:uiPriority w:val="99"/>
    <w:pPr>
      <w:widowControl w:val="0"/>
      <w:ind w:firstLine="420"/>
      <w:jc w:val="both"/>
    </w:pPr>
    <w:rPr>
      <w:rFonts w:ascii="Calibri" w:hAnsi="Calibri" w:eastAsia="宋体" w:cs="Times New Roman"/>
      <w:kern w:val="1"/>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1091</Words>
  <Characters>6219</Characters>
  <Lines>51</Lines>
  <Paragraphs>14</Paragraphs>
  <TotalTime>9</TotalTime>
  <ScaleCrop>false</ScaleCrop>
  <LinksUpToDate>false</LinksUpToDate>
  <CharactersWithSpaces>7296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2019-12-13T09:16:00Z</dcterms:created>
  <dc:creator>yy</dc:creator>
  <cp:lastModifiedBy>yy</cp:lastModifiedBy>
  <cp:lastPrinted>2021-05-24T04:04:00Z</cp:lastPrinted>
  <dcterms:modified xsi:type="dcterms:W3CDTF">2021-05-26T01:18:49Z</dcterms:modified>
  <dc:title>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