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pStyle w:val="2"/>
      </w:pPr>
    </w:p>
    <w:p>
      <w:pPr>
        <w:jc w:val="center"/>
        <w:rPr>
          <w:rFonts w:hint="default" w:eastAsia="宋体"/>
          <w:b/>
          <w:bCs/>
          <w:color w:val="000000"/>
          <w:sz w:val="84"/>
          <w:szCs w:val="84"/>
          <w:lang w:val="en-US" w:eastAsia="zh-CN"/>
        </w:rPr>
      </w:pPr>
      <w:r>
        <w:rPr>
          <w:rFonts w:hint="eastAsia" w:cs="宋体"/>
          <w:b/>
          <w:bCs/>
          <w:color w:val="000000"/>
          <w:sz w:val="84"/>
          <w:szCs w:val="84"/>
        </w:rPr>
        <w:t>竞争性谈判文件</w:t>
      </w:r>
      <w:r>
        <w:rPr>
          <w:rFonts w:hint="eastAsia" w:cs="宋体"/>
          <w:b/>
          <w:bCs/>
          <w:color w:val="000000"/>
          <w:sz w:val="84"/>
          <w:szCs w:val="84"/>
          <w:lang w:eastAsia="zh-CN"/>
        </w:rPr>
        <w:t>（</w:t>
      </w:r>
      <w:r>
        <w:rPr>
          <w:rFonts w:hint="eastAsia" w:cs="宋体"/>
          <w:b/>
          <w:bCs/>
          <w:color w:val="000000"/>
          <w:sz w:val="84"/>
          <w:szCs w:val="84"/>
          <w:lang w:val="en-US" w:eastAsia="zh-CN"/>
        </w:rPr>
        <w:t>二次）</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交院驾培总编：2021-</w:t>
      </w:r>
      <w:r>
        <w:rPr>
          <w:rFonts w:hint="eastAsia" w:ascii="楷体_GB2312" w:hAnsi="楷体_GB2312" w:eastAsia="楷体_GB2312" w:cs="楷体_GB2312"/>
          <w:b/>
          <w:bCs/>
          <w:color w:val="000000"/>
          <w:sz w:val="36"/>
          <w:szCs w:val="36"/>
          <w:u w:val="single"/>
          <w:lang w:val="en-US" w:eastAsia="zh-CN"/>
        </w:rPr>
        <w:t>2</w:t>
      </w:r>
      <w:r>
        <w:rPr>
          <w:rFonts w:hint="eastAsia" w:ascii="楷体_GB2312" w:hAnsi="楷体_GB2312" w:eastAsia="楷体_GB2312" w:cs="楷体_GB2312"/>
          <w:b/>
          <w:bCs/>
          <w:color w:val="000000"/>
          <w:sz w:val="36"/>
          <w:szCs w:val="36"/>
          <w:u w:val="single"/>
        </w:rPr>
        <w:t>#</w:t>
      </w:r>
    </w:p>
    <w:p>
      <w:pPr>
        <w:ind w:left="1843" w:hanging="1843" w:hangingChars="510"/>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2"/>
          <w:szCs w:val="32"/>
          <w:u w:val="single"/>
        </w:rPr>
        <w:t>驾培中心</w:t>
      </w:r>
      <w:r>
        <w:rPr>
          <w:rFonts w:hint="eastAsia" w:ascii="楷体_GB2312" w:hAnsi="楷体_GB2312" w:eastAsia="楷体_GB2312" w:cs="楷体_GB2312"/>
          <w:b/>
          <w:bCs/>
          <w:color w:val="000000"/>
          <w:sz w:val="32"/>
          <w:szCs w:val="32"/>
          <w:u w:val="single"/>
          <w:lang w:val="en-US" w:eastAsia="zh-CN"/>
        </w:rPr>
        <w:t>东风</w:t>
      </w:r>
      <w:r>
        <w:rPr>
          <w:rFonts w:hint="eastAsia" w:ascii="楷体_GB2312" w:hAnsi="楷体_GB2312" w:eastAsia="楷体_GB2312" w:cs="楷体_GB2312"/>
          <w:b/>
          <w:bCs/>
          <w:color w:val="000000"/>
          <w:sz w:val="32"/>
          <w:szCs w:val="32"/>
          <w:u w:val="single"/>
        </w:rPr>
        <w:t>车辆采购项目</w:t>
      </w:r>
    </w:p>
    <w:p>
      <w:pPr>
        <w:rPr>
          <w:rFonts w:ascii="宋体" w:cs="宋体"/>
          <w:b/>
          <w:bCs/>
          <w:color w:val="000000"/>
          <w:sz w:val="36"/>
          <w:szCs w:val="36"/>
        </w:rPr>
      </w:pPr>
      <w:r>
        <w:rPr>
          <w:rFonts w:hint="eastAsia" w:ascii="宋体" w:cs="宋体"/>
          <w:b/>
          <w:bCs/>
          <w:color w:val="000000"/>
          <w:sz w:val="36"/>
          <w:szCs w:val="36"/>
        </w:rPr>
        <w:t>招 标 人：</w:t>
      </w:r>
      <w:r>
        <w:rPr>
          <w:rFonts w:hint="eastAsia" w:ascii="楷体_GB2312" w:hAnsi="楷体_GB2312" w:eastAsia="楷体_GB2312" w:cs="楷体_GB2312"/>
          <w:b/>
          <w:bCs/>
          <w:color w:val="000000"/>
          <w:sz w:val="32"/>
          <w:szCs w:val="32"/>
          <w:u w:val="single"/>
        </w:rPr>
        <w:t>盐城交院驾驶培训有限公司</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21年</w:t>
      </w:r>
      <w:r>
        <w:rPr>
          <w:rFonts w:hint="eastAsia" w:ascii="黑体" w:eastAsia="黑体" w:cs="黑体"/>
          <w:color w:val="000000"/>
          <w:sz w:val="44"/>
          <w:szCs w:val="44"/>
          <w:lang w:val="en-US" w:eastAsia="zh-CN"/>
        </w:rPr>
        <w:t>7</w:t>
      </w:r>
      <w:r>
        <w:rPr>
          <w:rFonts w:hint="eastAsia" w:ascii="黑体" w:eastAsia="黑体" w:cs="黑体"/>
          <w:color w:val="000000"/>
          <w:sz w:val="44"/>
          <w:szCs w:val="44"/>
        </w:rPr>
        <w:t>月</w:t>
      </w:r>
    </w:p>
    <w:p>
      <w:pPr>
        <w:rPr>
          <w:rFonts w:ascii="黑体" w:eastAsia="黑体" w:cs="黑体"/>
          <w:color w:val="000000"/>
          <w:sz w:val="44"/>
          <w:szCs w:val="44"/>
        </w:rPr>
      </w:pPr>
    </w:p>
    <w:p>
      <w:pPr>
        <w:rPr>
          <w:rFonts w:ascii="黑体" w:eastAsia="黑体" w:cs="黑体"/>
          <w:color w:val="000000"/>
          <w:sz w:val="44"/>
          <w:szCs w:val="44"/>
        </w:rPr>
      </w:pPr>
    </w:p>
    <w:p>
      <w:pPr>
        <w:pStyle w:val="2"/>
      </w:pPr>
    </w:p>
    <w:p>
      <w:pP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五、招标人：盐城交院驾驶培训有限公司</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联系人：吴老师13851056339</w:t>
      </w:r>
    </w:p>
    <w:p>
      <w:pPr>
        <w:pStyle w:val="4"/>
        <w:spacing w:line="600" w:lineRule="exact"/>
        <w:ind w:firstLine="742"/>
        <w:rPr>
          <w:rFonts w:ascii="仿宋_GB2312"/>
          <w:color w:val="000000"/>
          <w:szCs w:val="32"/>
        </w:rPr>
      </w:pPr>
    </w:p>
    <w:p>
      <w:pPr>
        <w:pStyle w:val="4"/>
        <w:spacing w:line="600" w:lineRule="exact"/>
        <w:ind w:firstLine="742"/>
        <w:rPr>
          <w:rFonts w:ascii="仿宋_GB2312"/>
          <w:color w:val="000000"/>
          <w:szCs w:val="32"/>
        </w:rPr>
      </w:pPr>
    </w:p>
    <w:p>
      <w:pPr>
        <w:pStyle w:val="4"/>
        <w:spacing w:line="600" w:lineRule="exact"/>
        <w:ind w:left="0" w:firstLine="0" w:firstLineChars="0"/>
        <w:rPr>
          <w:rFonts w:ascii="仿宋_GB2312"/>
          <w:color w:val="000000"/>
          <w:szCs w:val="32"/>
        </w:rPr>
      </w:pPr>
    </w:p>
    <w:p>
      <w:pPr>
        <w:pStyle w:val="4"/>
        <w:spacing w:line="600" w:lineRule="exact"/>
        <w:ind w:left="0" w:firstLine="0" w:firstLineChars="0"/>
        <w:rPr>
          <w:rFonts w:ascii="仿宋_GB2312"/>
          <w:color w:val="000000"/>
          <w:szCs w:val="32"/>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hint="default" w:ascii="仿宋" w:eastAsia="黑体"/>
          <w:sz w:val="44"/>
          <w:lang w:val="en-US" w:eastAsia="zh-CN"/>
        </w:rPr>
      </w:pPr>
      <w:r>
        <w:rPr>
          <w:rFonts w:hint="eastAsia" w:eastAsia="黑体"/>
          <w:sz w:val="44"/>
        </w:rPr>
        <w:t>第一部分  竞争性谈判采购公告</w:t>
      </w:r>
      <w:r>
        <w:rPr>
          <w:rFonts w:hint="eastAsia" w:eastAsia="黑体"/>
          <w:sz w:val="44"/>
          <w:lang w:eastAsia="zh-CN"/>
        </w:rPr>
        <w:t>（</w:t>
      </w:r>
      <w:r>
        <w:rPr>
          <w:rFonts w:hint="eastAsia" w:eastAsia="黑体"/>
          <w:sz w:val="44"/>
          <w:lang w:val="en-US" w:eastAsia="zh-CN"/>
        </w:rPr>
        <w:t>二次）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sz w:val="28"/>
          <w:szCs w:val="28"/>
          <w:u w:val="single"/>
          <w:lang w:val="en-US" w:eastAsia="zh-CN"/>
        </w:rPr>
        <w:t>东风</w:t>
      </w:r>
      <w:r>
        <w:rPr>
          <w:rFonts w:hint="eastAsia" w:ascii="仿宋_GB2312" w:hAnsi="仿宋_GB2312" w:eastAsia="仿宋_GB2312" w:cs="仿宋_GB2312"/>
          <w:sz w:val="28"/>
          <w:szCs w:val="28"/>
          <w:u w:val="single"/>
        </w:rPr>
        <w:t>车辆采购项目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lang w:val="en-US" w:eastAsia="zh-CN"/>
        </w:rPr>
        <w:t>二次</w:t>
      </w:r>
      <w:r>
        <w:rPr>
          <w:rFonts w:hint="eastAsia" w:ascii="仿宋_GB2312" w:hAnsi="仿宋_GB2312" w:eastAsia="仿宋_GB2312" w:cs="仿宋_GB2312"/>
          <w:sz w:val="28"/>
          <w:szCs w:val="28"/>
        </w:rPr>
        <w:t>竞争性谈判采购。</w:t>
      </w:r>
    </w:p>
    <w:p>
      <w:pPr>
        <w:spacing w:line="560" w:lineRule="exact"/>
        <w:ind w:firstLine="560" w:firstLineChars="200"/>
        <w:rPr>
          <w:rFonts w:ascii="黑体" w:eastAsia="黑体"/>
          <w:sz w:val="28"/>
          <w:szCs w:val="28"/>
        </w:rPr>
      </w:pPr>
      <w:r>
        <w:rPr>
          <w:rFonts w:hint="eastAsia" w:ascii="黑体" w:eastAsia="黑体"/>
          <w:sz w:val="28"/>
          <w:szCs w:val="28"/>
        </w:rPr>
        <w:t>一、项目内容</w:t>
      </w:r>
    </w:p>
    <w:tbl>
      <w:tblPr>
        <w:tblStyle w:val="6"/>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129"/>
        <w:gridCol w:w="800"/>
        <w:gridCol w:w="843"/>
        <w:gridCol w:w="4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48" w:type="dxa"/>
          </w:tcPr>
          <w:p>
            <w:pPr>
              <w:spacing w:line="400" w:lineRule="exact"/>
              <w:jc w:val="center"/>
              <w:rPr>
                <w:rFonts w:ascii="宋体" w:hAnsi="宋体" w:cs="宋体"/>
                <w:b/>
                <w:bCs/>
                <w:sz w:val="28"/>
                <w:szCs w:val="28"/>
              </w:rPr>
            </w:pPr>
            <w:r>
              <w:rPr>
                <w:rFonts w:hint="eastAsia" w:ascii="宋体" w:hAnsi="宋体" w:cs="宋体"/>
                <w:b/>
                <w:bCs/>
                <w:sz w:val="28"/>
                <w:szCs w:val="28"/>
              </w:rPr>
              <w:t>序号</w:t>
            </w:r>
          </w:p>
        </w:tc>
        <w:tc>
          <w:tcPr>
            <w:tcW w:w="2129" w:type="dxa"/>
          </w:tcPr>
          <w:p>
            <w:pPr>
              <w:spacing w:line="400" w:lineRule="exact"/>
              <w:jc w:val="center"/>
              <w:rPr>
                <w:rFonts w:ascii="宋体" w:hAnsi="宋体" w:cs="宋体"/>
                <w:b/>
                <w:bCs/>
                <w:sz w:val="28"/>
                <w:szCs w:val="28"/>
              </w:rPr>
            </w:pPr>
            <w:r>
              <w:rPr>
                <w:rFonts w:hint="eastAsia" w:ascii="宋体" w:hAnsi="宋体" w:cs="宋体"/>
                <w:b/>
                <w:bCs/>
                <w:sz w:val="28"/>
                <w:szCs w:val="28"/>
              </w:rPr>
              <w:t>品牌车型</w:t>
            </w:r>
          </w:p>
        </w:tc>
        <w:tc>
          <w:tcPr>
            <w:tcW w:w="800" w:type="dxa"/>
          </w:tcPr>
          <w:p>
            <w:pPr>
              <w:spacing w:line="400" w:lineRule="exact"/>
              <w:jc w:val="center"/>
              <w:rPr>
                <w:rFonts w:ascii="宋体" w:hAnsi="宋体" w:cs="宋体"/>
                <w:b/>
                <w:bCs/>
                <w:sz w:val="28"/>
                <w:szCs w:val="28"/>
              </w:rPr>
            </w:pPr>
            <w:r>
              <w:rPr>
                <w:rFonts w:hint="eastAsia" w:ascii="宋体" w:hAnsi="宋体" w:cs="宋体"/>
                <w:b/>
                <w:bCs/>
                <w:sz w:val="28"/>
                <w:szCs w:val="28"/>
              </w:rPr>
              <w:t>数量</w:t>
            </w:r>
          </w:p>
        </w:tc>
        <w:tc>
          <w:tcPr>
            <w:tcW w:w="843" w:type="dxa"/>
          </w:tcPr>
          <w:p>
            <w:pPr>
              <w:spacing w:line="400" w:lineRule="exact"/>
              <w:jc w:val="center"/>
              <w:rPr>
                <w:rFonts w:ascii="宋体" w:hAnsi="宋体" w:cs="宋体"/>
                <w:b/>
                <w:bCs/>
                <w:sz w:val="28"/>
                <w:szCs w:val="28"/>
              </w:rPr>
            </w:pPr>
            <w:r>
              <w:rPr>
                <w:rFonts w:hint="eastAsia" w:ascii="宋体" w:hAnsi="宋体" w:cs="宋体"/>
                <w:b/>
                <w:bCs/>
                <w:sz w:val="28"/>
                <w:szCs w:val="28"/>
              </w:rPr>
              <w:t>单位</w:t>
            </w:r>
          </w:p>
        </w:tc>
        <w:tc>
          <w:tcPr>
            <w:tcW w:w="4965" w:type="dxa"/>
          </w:tcPr>
          <w:p>
            <w:pPr>
              <w:spacing w:line="400" w:lineRule="exact"/>
              <w:jc w:val="center"/>
              <w:rPr>
                <w:rFonts w:ascii="宋体" w:hAnsi="宋体" w:cs="宋体"/>
                <w:b/>
                <w:bCs/>
                <w:sz w:val="28"/>
                <w:szCs w:val="28"/>
              </w:rPr>
            </w:pPr>
            <w:r>
              <w:rPr>
                <w:rFonts w:hint="eastAsia" w:ascii="宋体" w:hAnsi="宋体" w:cs="宋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48" w:type="dxa"/>
            <w:vAlign w:val="center"/>
          </w:tcPr>
          <w:p>
            <w:pPr>
              <w:snapToGrid w:val="0"/>
              <w:spacing w:line="4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1</w:t>
            </w:r>
          </w:p>
        </w:tc>
        <w:tc>
          <w:tcPr>
            <w:tcW w:w="2129" w:type="dxa"/>
            <w:vAlign w:val="center"/>
          </w:tcPr>
          <w:p>
            <w:pPr>
              <w:snapToGrid w:val="0"/>
              <w:spacing w:line="4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EQ5121XLHL6D（B2）</w:t>
            </w:r>
          </w:p>
        </w:tc>
        <w:tc>
          <w:tcPr>
            <w:tcW w:w="800" w:type="dxa"/>
            <w:vAlign w:val="center"/>
          </w:tcPr>
          <w:p>
            <w:pPr>
              <w:snapToGrid w:val="0"/>
              <w:spacing w:line="4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2</w:t>
            </w:r>
          </w:p>
        </w:tc>
        <w:tc>
          <w:tcPr>
            <w:tcW w:w="843" w:type="dxa"/>
            <w:vAlign w:val="center"/>
          </w:tcPr>
          <w:p>
            <w:pPr>
              <w:snapToGrid w:val="0"/>
              <w:spacing w:line="4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辆</w:t>
            </w:r>
          </w:p>
        </w:tc>
        <w:tc>
          <w:tcPr>
            <w:tcW w:w="4965" w:type="dxa"/>
            <w:vAlign w:val="center"/>
          </w:tcPr>
          <w:p>
            <w:pPr>
              <w:snapToGrid w:val="0"/>
              <w:spacing w:line="460" w:lineRule="exact"/>
              <w:rPr>
                <w:rFonts w:ascii="仿宋_GB2312" w:eastAsia="仿宋_GB2312" w:cs="仿宋_GB2312"/>
                <w:color w:val="000000"/>
                <w:sz w:val="28"/>
                <w:szCs w:val="28"/>
              </w:rPr>
            </w:pPr>
            <w:r>
              <w:rPr>
                <w:rFonts w:hint="eastAsia" w:ascii="仿宋_GB2312" w:eastAsia="仿宋_GB2312" w:cs="仿宋_GB2312"/>
                <w:color w:val="000000"/>
                <w:sz w:val="28"/>
                <w:szCs w:val="28"/>
                <w:lang w:eastAsia="zh-CN"/>
              </w:rPr>
              <w:t>为东风教练车，</w:t>
            </w:r>
            <w:r>
              <w:rPr>
                <w:rFonts w:hint="eastAsia" w:ascii="仿宋_GB2312" w:eastAsia="仿宋_GB2312" w:cs="仿宋_GB2312"/>
                <w:color w:val="000000"/>
                <w:sz w:val="28"/>
                <w:szCs w:val="28"/>
                <w:lang w:val="en-US" w:eastAsia="zh-CN"/>
              </w:rPr>
              <w:t>玉柴发动机</w:t>
            </w:r>
            <w:r>
              <w:rPr>
                <w:rFonts w:hint="eastAsia" w:ascii="仿宋_GB2312" w:eastAsia="仿宋_GB2312" w:cs="仿宋_GB2312"/>
                <w:color w:val="000000"/>
                <w:sz w:val="28"/>
                <w:szCs w:val="28"/>
                <w:lang w:eastAsia="zh-CN"/>
              </w:rPr>
              <w:t>需安装空调。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48" w:type="dxa"/>
            <w:vAlign w:val="center"/>
          </w:tcPr>
          <w:p>
            <w:pPr>
              <w:snapToGrid w:val="0"/>
              <w:spacing w:line="460" w:lineRule="exact"/>
              <w:jc w:val="center"/>
              <w:rPr>
                <w:rFonts w:hint="eastAsia" w:ascii="仿宋_GB2312" w:eastAsia="仿宋_GB2312" w:cs="仿宋_GB2312"/>
                <w:color w:val="000000"/>
                <w:sz w:val="28"/>
                <w:szCs w:val="28"/>
              </w:rPr>
            </w:pPr>
            <w:r>
              <w:rPr>
                <w:rFonts w:hint="eastAsia" w:ascii="仿宋_GB2312" w:eastAsia="仿宋_GB2312" w:cs="仿宋_GB2312"/>
                <w:color w:val="000000"/>
                <w:sz w:val="28"/>
                <w:szCs w:val="28"/>
              </w:rPr>
              <w:t>2</w:t>
            </w:r>
          </w:p>
        </w:tc>
        <w:tc>
          <w:tcPr>
            <w:tcW w:w="2129" w:type="dxa"/>
            <w:vAlign w:val="center"/>
          </w:tcPr>
          <w:p>
            <w:pPr>
              <w:snapToGrid w:val="0"/>
              <w:spacing w:line="460" w:lineRule="exact"/>
              <w:jc w:val="center"/>
              <w:rPr>
                <w:rFonts w:hint="eastAsia" w:ascii="仿宋_GB2312" w:eastAsia="仿宋_GB2312" w:cs="仿宋_GB2312"/>
                <w:color w:val="000000"/>
                <w:sz w:val="28"/>
                <w:szCs w:val="28"/>
              </w:rPr>
            </w:pPr>
            <w:r>
              <w:rPr>
                <w:rFonts w:hint="eastAsia" w:ascii="仿宋_GB2312" w:hAnsi="Times New Roman" w:eastAsia="仿宋_GB2312" w:cs="仿宋_GB2312"/>
                <w:color w:val="000000"/>
                <w:sz w:val="28"/>
                <w:szCs w:val="28"/>
                <w:lang w:val="en-US" w:eastAsia="zh-CN"/>
              </w:rPr>
              <w:t xml:space="preserve">EQ5121XLHL6D1 </w:t>
            </w:r>
            <w:r>
              <w:rPr>
                <w:rFonts w:hint="eastAsia" w:ascii="仿宋_GB2312" w:eastAsia="仿宋_GB2312" w:cs="仿宋_GB2312"/>
                <w:color w:val="000000"/>
                <w:sz w:val="28"/>
                <w:szCs w:val="28"/>
              </w:rPr>
              <w:t xml:space="preserve"> (</w:t>
            </w:r>
            <w:r>
              <w:rPr>
                <w:rFonts w:hint="eastAsia" w:ascii="仿宋_GB2312" w:eastAsia="仿宋_GB2312" w:cs="仿宋_GB2312"/>
                <w:color w:val="000000"/>
                <w:sz w:val="28"/>
                <w:szCs w:val="28"/>
                <w:lang w:val="en-US" w:eastAsia="zh-CN"/>
              </w:rPr>
              <w:t>A</w:t>
            </w:r>
            <w:r>
              <w:rPr>
                <w:rFonts w:hint="eastAsia" w:ascii="仿宋_GB2312" w:eastAsia="仿宋_GB2312" w:cs="仿宋_GB2312"/>
                <w:color w:val="000000"/>
                <w:sz w:val="28"/>
                <w:szCs w:val="28"/>
              </w:rPr>
              <w:t>2)</w:t>
            </w:r>
            <w:r>
              <w:rPr>
                <w:rFonts w:hint="eastAsia" w:ascii="仿宋_GB2312" w:eastAsia="仿宋_GB2312" w:cs="仿宋_GB2312"/>
                <w:color w:val="000000"/>
                <w:sz w:val="28"/>
                <w:szCs w:val="28"/>
                <w:lang w:val="en-US" w:eastAsia="zh-CN"/>
              </w:rPr>
              <w:t>及</w:t>
            </w:r>
            <w:r>
              <w:rPr>
                <w:rFonts w:hint="eastAsia" w:ascii="仿宋_GB2312" w:hAnsi="Times New Roman" w:eastAsia="仿宋_GB2312" w:cs="仿宋_GB2312"/>
                <w:color w:val="000000"/>
                <w:sz w:val="28"/>
                <w:szCs w:val="28"/>
                <w:lang w:val="en-US" w:eastAsia="zh-CN"/>
              </w:rPr>
              <w:t>半挂车</w:t>
            </w:r>
          </w:p>
        </w:tc>
        <w:tc>
          <w:tcPr>
            <w:tcW w:w="800" w:type="dxa"/>
            <w:vAlign w:val="center"/>
          </w:tcPr>
          <w:p>
            <w:pPr>
              <w:snapToGrid w:val="0"/>
              <w:spacing w:line="460" w:lineRule="exact"/>
              <w:jc w:val="center"/>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lang w:val="en-US" w:eastAsia="zh-CN"/>
              </w:rPr>
              <w:t>1</w:t>
            </w:r>
          </w:p>
        </w:tc>
        <w:tc>
          <w:tcPr>
            <w:tcW w:w="843" w:type="dxa"/>
            <w:vAlign w:val="center"/>
          </w:tcPr>
          <w:p>
            <w:pPr>
              <w:snapToGrid w:val="0"/>
              <w:spacing w:line="460" w:lineRule="exact"/>
              <w:jc w:val="center"/>
              <w:rPr>
                <w:rFonts w:hint="eastAsia" w:ascii="仿宋_GB2312" w:eastAsia="仿宋_GB2312" w:cs="仿宋_GB2312"/>
                <w:color w:val="000000"/>
                <w:sz w:val="28"/>
                <w:szCs w:val="28"/>
              </w:rPr>
            </w:pPr>
            <w:r>
              <w:rPr>
                <w:rFonts w:hint="eastAsia" w:ascii="仿宋_GB2312" w:eastAsia="仿宋_GB2312" w:cs="仿宋_GB2312"/>
                <w:color w:val="000000"/>
                <w:sz w:val="28"/>
                <w:szCs w:val="28"/>
              </w:rPr>
              <w:t>辆</w:t>
            </w:r>
          </w:p>
        </w:tc>
        <w:tc>
          <w:tcPr>
            <w:tcW w:w="4965" w:type="dxa"/>
            <w:vAlign w:val="center"/>
          </w:tcPr>
          <w:p>
            <w:pPr>
              <w:snapToGrid w:val="0"/>
              <w:spacing w:line="460" w:lineRule="exact"/>
              <w:rPr>
                <w:rFonts w:hint="eastAsia" w:ascii="仿宋_GB2312" w:eastAsia="宋体" w:cs="仿宋_GB2312"/>
                <w:color w:val="000000"/>
                <w:sz w:val="28"/>
                <w:szCs w:val="28"/>
                <w:lang w:val="en-US" w:eastAsia="zh-CN"/>
              </w:rPr>
            </w:pPr>
            <w:r>
              <w:rPr>
                <w:rFonts w:hint="eastAsia" w:ascii="仿宋_GB2312" w:hAnsi="Times New Roman" w:eastAsia="仿宋_GB2312" w:cs="仿宋_GB2312"/>
                <w:color w:val="000000"/>
                <w:sz w:val="28"/>
                <w:szCs w:val="28"/>
                <w:lang w:val="en-US" w:eastAsia="zh-CN"/>
              </w:rPr>
              <w:t>为东风</w:t>
            </w:r>
            <w:r>
              <w:rPr>
                <w:rFonts w:hint="eastAsia" w:ascii="仿宋_GB2312" w:hAnsi="Times New Roman" w:eastAsia="仿宋_GB2312" w:cs="仿宋_GB2312"/>
                <w:color w:val="000000"/>
                <w:sz w:val="28"/>
                <w:szCs w:val="28"/>
                <w:lang w:eastAsia="zh-CN"/>
              </w:rPr>
              <w:t>牵引教练</w:t>
            </w:r>
            <w:r>
              <w:rPr>
                <w:rFonts w:hint="eastAsia" w:ascii="仿宋_GB2312" w:hAnsi="Times New Roman" w:eastAsia="仿宋_GB2312" w:cs="仿宋_GB2312"/>
                <w:color w:val="000000"/>
                <w:sz w:val="28"/>
                <w:szCs w:val="28"/>
                <w:lang w:val="en-US" w:eastAsia="zh-CN"/>
              </w:rPr>
              <w:t>车（含配套半挂车），</w:t>
            </w:r>
            <w:r>
              <w:rPr>
                <w:rFonts w:hint="eastAsia" w:ascii="仿宋_GB2312" w:eastAsia="仿宋_GB2312" w:cs="仿宋_GB2312"/>
                <w:color w:val="000000"/>
                <w:sz w:val="28"/>
                <w:szCs w:val="28"/>
                <w:lang w:val="en-US" w:eastAsia="zh-CN"/>
              </w:rPr>
              <w:t>玉柴发动机</w:t>
            </w:r>
            <w:r>
              <w:rPr>
                <w:rFonts w:hint="eastAsia" w:ascii="仿宋_GB2312" w:eastAsia="仿宋_GB2312" w:cs="仿宋_GB2312"/>
                <w:color w:val="000000"/>
                <w:sz w:val="28"/>
                <w:szCs w:val="28"/>
                <w:lang w:eastAsia="zh-CN"/>
              </w:rPr>
              <w:t>需安装空调。</w:t>
            </w:r>
          </w:p>
        </w:tc>
      </w:tr>
    </w:tbl>
    <w:p>
      <w:pPr>
        <w:snapToGrid w:val="0"/>
        <w:spacing w:line="460" w:lineRule="exact"/>
        <w:ind w:firstLine="562" w:firstLineChars="20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备注：</w:t>
      </w:r>
    </w:p>
    <w:p>
      <w:pPr>
        <w:snapToGrid w:val="0"/>
        <w:spacing w:line="460" w:lineRule="exact"/>
        <w:ind w:firstLine="562" w:firstLineChars="20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1、车辆均为</w:t>
      </w:r>
      <w:r>
        <w:rPr>
          <w:rFonts w:hint="eastAsia" w:ascii="仿宋_GB2312" w:eastAsia="仿宋_GB2312" w:cs="仿宋_GB2312"/>
          <w:b/>
          <w:bCs/>
          <w:color w:val="000000"/>
          <w:sz w:val="28"/>
          <w:szCs w:val="28"/>
          <w:lang w:val="en-US" w:eastAsia="zh-CN"/>
        </w:rPr>
        <w:t>东风</w:t>
      </w:r>
      <w:r>
        <w:rPr>
          <w:rFonts w:hint="eastAsia" w:ascii="仿宋_GB2312" w:eastAsia="仿宋_GB2312" w:cs="仿宋_GB2312"/>
          <w:b/>
          <w:bCs/>
          <w:color w:val="000000"/>
          <w:sz w:val="28"/>
          <w:szCs w:val="28"/>
        </w:rPr>
        <w:t>，合计</w:t>
      </w:r>
      <w:r>
        <w:rPr>
          <w:rFonts w:hint="eastAsia" w:ascii="仿宋_GB2312" w:eastAsia="仿宋_GB2312" w:cs="仿宋_GB2312"/>
          <w:b/>
          <w:bCs/>
          <w:color w:val="000000"/>
          <w:sz w:val="28"/>
          <w:szCs w:val="28"/>
          <w:lang w:val="en-US" w:eastAsia="zh-CN"/>
        </w:rPr>
        <w:t>3</w:t>
      </w:r>
      <w:r>
        <w:rPr>
          <w:rFonts w:hint="eastAsia" w:ascii="仿宋_GB2312" w:eastAsia="仿宋_GB2312" w:cs="仿宋_GB2312"/>
          <w:b/>
          <w:bCs/>
          <w:color w:val="000000"/>
          <w:sz w:val="28"/>
          <w:szCs w:val="28"/>
        </w:rPr>
        <w:t>辆，均为</w:t>
      </w:r>
      <w:r>
        <w:rPr>
          <w:rFonts w:hint="eastAsia" w:ascii="仿宋_GB2312" w:eastAsia="仿宋_GB2312" w:cs="仿宋_GB2312"/>
          <w:b/>
          <w:bCs/>
          <w:color w:val="000000"/>
          <w:sz w:val="28"/>
          <w:szCs w:val="28"/>
          <w:lang w:val="en-US" w:eastAsia="zh-CN"/>
        </w:rPr>
        <w:t>国六标准</w:t>
      </w:r>
      <w:r>
        <w:rPr>
          <w:rFonts w:hint="eastAsia" w:ascii="仿宋_GB2312" w:eastAsia="仿宋_GB2312" w:cs="仿宋_GB2312"/>
          <w:b/>
          <w:bCs/>
          <w:color w:val="000000"/>
          <w:sz w:val="28"/>
          <w:szCs w:val="28"/>
        </w:rPr>
        <w:t>教练车</w:t>
      </w:r>
      <w:r>
        <w:rPr>
          <w:rFonts w:hint="eastAsia" w:ascii="仿宋_GB2312" w:eastAsia="仿宋_GB2312" w:cs="仿宋_GB2312"/>
          <w:b/>
          <w:bCs/>
          <w:color w:val="000000"/>
          <w:sz w:val="28"/>
          <w:szCs w:val="28"/>
          <w:lang w:val="en-US" w:eastAsia="zh-CN"/>
        </w:rPr>
        <w:t>且与盐城考试中心车辆尺寸参数一致</w:t>
      </w:r>
      <w:r>
        <w:rPr>
          <w:rFonts w:hint="eastAsia" w:ascii="仿宋_GB2312" w:eastAsia="仿宋_GB2312" w:cs="仿宋_GB2312"/>
          <w:b/>
          <w:bCs/>
          <w:color w:val="000000"/>
          <w:sz w:val="28"/>
          <w:szCs w:val="28"/>
        </w:rPr>
        <w:t>。</w:t>
      </w:r>
    </w:p>
    <w:p>
      <w:pPr>
        <w:snapToGrid w:val="0"/>
        <w:spacing w:line="460" w:lineRule="exact"/>
        <w:ind w:firstLine="562" w:firstLineChars="200"/>
      </w:pPr>
      <w:r>
        <w:rPr>
          <w:rFonts w:hint="eastAsia" w:ascii="仿宋_GB2312" w:eastAsia="仿宋_GB2312" w:cs="仿宋_GB2312"/>
          <w:b/>
          <w:bCs/>
          <w:color w:val="000000"/>
          <w:sz w:val="28"/>
          <w:szCs w:val="28"/>
        </w:rPr>
        <w:t>2、</w:t>
      </w:r>
      <w:r>
        <w:rPr>
          <w:rFonts w:hint="eastAsia" w:ascii="仿宋_GB2312" w:eastAsia="仿宋_GB2312" w:cs="仿宋_GB2312"/>
          <w:b/>
          <w:bCs/>
          <w:color w:val="000000"/>
          <w:sz w:val="28"/>
          <w:szCs w:val="28"/>
          <w:lang w:val="en-US" w:eastAsia="zh-CN"/>
        </w:rPr>
        <w:t>中标后，付款结算方式与交付时间由双方商量一致，确保十天内交付至招标人指定地点</w:t>
      </w:r>
      <w:r>
        <w:rPr>
          <w:rFonts w:hint="eastAsia" w:ascii="仿宋_GB2312" w:eastAsia="仿宋_GB2312" w:cs="仿宋_GB2312"/>
          <w:b/>
          <w:bCs/>
          <w:color w:val="000000"/>
          <w:sz w:val="28"/>
          <w:szCs w:val="28"/>
        </w:rPr>
        <w:t>。</w:t>
      </w:r>
    </w:p>
    <w:p>
      <w:pPr>
        <w:spacing w:line="560" w:lineRule="exact"/>
        <w:ind w:firstLine="560" w:firstLineChars="200"/>
        <w:rPr>
          <w:rFonts w:ascii="黑体" w:eastAsia="黑体"/>
          <w:sz w:val="28"/>
          <w:szCs w:val="28"/>
        </w:rPr>
      </w:pPr>
      <w:r>
        <w:rPr>
          <w:rFonts w:hint="eastAsia" w:ascii="黑体" w:eastAsia="黑体"/>
          <w:sz w:val="28"/>
          <w:szCs w:val="28"/>
        </w:rPr>
        <w:t>二、采购项目预算金额</w:t>
      </w:r>
    </w:p>
    <w:p>
      <w:pPr>
        <w:snapToGrid w:val="0"/>
        <w:spacing w:line="460" w:lineRule="exact"/>
        <w:ind w:firstLine="562" w:firstLineChars="20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项目预算</w:t>
      </w:r>
      <w:r>
        <w:rPr>
          <w:rFonts w:hint="eastAsia" w:ascii="仿宋_GB2312" w:eastAsia="仿宋_GB2312" w:cs="仿宋_GB2312"/>
          <w:b/>
          <w:bCs/>
          <w:color w:val="000000"/>
          <w:sz w:val="28"/>
          <w:szCs w:val="28"/>
          <w:lang w:val="en-US" w:eastAsia="zh-CN"/>
        </w:rPr>
        <w:t>46.38</w:t>
      </w:r>
      <w:r>
        <w:rPr>
          <w:rFonts w:hint="eastAsia" w:ascii="仿宋_GB2312" w:eastAsia="仿宋_GB2312" w:cs="仿宋_GB2312"/>
          <w:b/>
          <w:bCs/>
          <w:color w:val="000000"/>
          <w:sz w:val="28"/>
          <w:szCs w:val="28"/>
        </w:rPr>
        <w:t>万元，超过预算的报价为无效报价。</w:t>
      </w:r>
    </w:p>
    <w:p>
      <w:pPr>
        <w:spacing w:line="560" w:lineRule="exact"/>
        <w:ind w:firstLine="560" w:firstLineChars="200"/>
        <w:rPr>
          <w:rFonts w:ascii="黑体" w:eastAsia="黑体"/>
          <w:sz w:val="28"/>
          <w:szCs w:val="28"/>
        </w:rPr>
      </w:pPr>
      <w:r>
        <w:rPr>
          <w:rFonts w:hint="eastAsia" w:ascii="黑体" w:eastAsia="黑体"/>
          <w:sz w:val="28"/>
          <w:szCs w:val="28"/>
        </w:rPr>
        <w:t>三、合格谈判服务商资格要求</w:t>
      </w:r>
    </w:p>
    <w:p>
      <w:pPr>
        <w:snapToGrid w:val="0"/>
        <w:spacing w:line="46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46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．供应商必须具有独立承担民事责任的能力,具有三证合一的营业执照，为</w:t>
      </w:r>
      <w:r>
        <w:rPr>
          <w:rFonts w:hint="eastAsia" w:ascii="仿宋_GB2312" w:eastAsia="仿宋_GB2312" w:cs="仿宋_GB2312"/>
          <w:color w:val="000000"/>
          <w:sz w:val="28"/>
          <w:szCs w:val="28"/>
          <w:lang w:val="en-US" w:eastAsia="zh-CN"/>
        </w:rPr>
        <w:t>东风商用车经销商</w:t>
      </w:r>
      <w:r>
        <w:rPr>
          <w:rFonts w:hint="eastAsia" w:ascii="仿宋_GB2312" w:eastAsia="仿宋_GB2312" w:cs="仿宋_GB2312"/>
          <w:color w:val="000000"/>
          <w:sz w:val="28"/>
          <w:szCs w:val="28"/>
        </w:rPr>
        <w:t>。</w:t>
      </w:r>
    </w:p>
    <w:p>
      <w:pPr>
        <w:snapToGrid w:val="0"/>
        <w:spacing w:line="460" w:lineRule="exact"/>
        <w:ind w:firstLine="560" w:firstLineChars="200"/>
        <w:rPr>
          <w:rFonts w:ascii="仿宋_GB2312" w:eastAsia="仿宋_GB2312" w:cs="仿宋_GB2312"/>
          <w:color w:val="000000"/>
          <w:sz w:val="28"/>
          <w:szCs w:val="28"/>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．供应商未处于投标资格被取消或者财产被接管、冻结和破产状态；没有因骗取中标或严重违约以及发生重大质量、安全生产事故等问题被有关部门暂停投标资格并在暂停期内的。</w:t>
      </w:r>
    </w:p>
    <w:p>
      <w:pPr>
        <w:snapToGrid w:val="0"/>
        <w:spacing w:line="4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w:t>
      </w:r>
      <w:r>
        <w:rPr>
          <w:rFonts w:ascii="仿宋_GB2312" w:eastAsia="仿宋_GB2312" w:cs="仿宋_GB2312"/>
          <w:color w:val="000000"/>
          <w:sz w:val="28"/>
          <w:szCs w:val="28"/>
        </w:rPr>
        <w:t>.</w:t>
      </w:r>
      <w:r>
        <w:rPr>
          <w:rFonts w:hint="eastAsia" w:ascii="仿宋_GB2312" w:eastAsia="仿宋_GB2312" w:cs="仿宋_GB2312"/>
          <w:color w:val="000000"/>
          <w:sz w:val="28"/>
          <w:szCs w:val="28"/>
        </w:rPr>
        <w:t>未被“信用中国”网站（www.creditchina.gov.cn）列入失信被执行人、重大税收违法案件当事人名单、政府采购严重失信行为记录名单。</w:t>
      </w:r>
    </w:p>
    <w:p>
      <w:pPr>
        <w:snapToGrid w:val="0"/>
        <w:spacing w:line="460" w:lineRule="exact"/>
        <w:ind w:firstLine="560" w:firstLineChars="200"/>
        <w:rPr>
          <w:rFonts w:eastAsia="仿宋_GB2312"/>
          <w:color w:val="000000"/>
          <w:sz w:val="24"/>
        </w:rPr>
      </w:pPr>
      <w:r>
        <w:rPr>
          <w:rFonts w:hint="eastAsia" w:ascii="仿宋_GB2312" w:eastAsia="仿宋_GB2312" w:cs="仿宋_GB2312"/>
          <w:color w:val="000000"/>
          <w:sz w:val="28"/>
          <w:szCs w:val="28"/>
        </w:rPr>
        <w:t>5.本项目不接受联合体投标。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二、竞争性谈判文件的获取时间及地点</w:t>
      </w:r>
    </w:p>
    <w:p>
      <w:pPr>
        <w:shd w:val="clear" w:color="auto" w:fill="FFFFFF"/>
        <w:spacing w:line="460" w:lineRule="exact"/>
        <w:ind w:firstLine="560" w:firstLineChars="200"/>
        <w:rPr>
          <w:rFonts w:ascii="仿宋_GB2312" w:eastAsia="仿宋_GB2312"/>
          <w:sz w:val="28"/>
          <w:szCs w:val="28"/>
        </w:rPr>
      </w:pPr>
      <w:r>
        <w:rPr>
          <w:rFonts w:hint="eastAsia" w:ascii="仿宋_GB2312" w:eastAsia="仿宋_GB2312"/>
          <w:sz w:val="28"/>
          <w:szCs w:val="28"/>
        </w:rPr>
        <w:t>1.报名及竞争性谈判文件获取时间：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rPr>
        <w:t>21年7月</w:t>
      </w:r>
      <w:r>
        <w:rPr>
          <w:rFonts w:hint="eastAsia" w:ascii="仿宋_GB2312" w:hAnsi="仿宋_GB2312" w:eastAsia="仿宋_GB2312" w:cs="仿宋_GB2312"/>
          <w:b/>
          <w:bCs/>
          <w:color w:val="000000"/>
          <w:sz w:val="28"/>
          <w:szCs w:val="28"/>
          <w:u w:val="single"/>
          <w:lang w:val="en-US" w:eastAsia="zh-CN"/>
        </w:rPr>
        <w:t>21</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rPr>
        <w:t>7月</w:t>
      </w:r>
      <w:r>
        <w:rPr>
          <w:rFonts w:hint="eastAsia" w:ascii="仿宋_GB2312" w:hAnsi="仿宋_GB2312" w:eastAsia="仿宋_GB2312" w:cs="仿宋_GB2312"/>
          <w:b/>
          <w:bCs/>
          <w:color w:val="000000"/>
          <w:sz w:val="28"/>
          <w:szCs w:val="28"/>
          <w:u w:val="single"/>
          <w:lang w:val="en-US" w:eastAsia="zh-CN"/>
        </w:rPr>
        <w:t>23</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15:00—17:30</w:t>
      </w:r>
      <w:r>
        <w:rPr>
          <w:rFonts w:hint="eastAsia" w:ascii="仿宋_GB2312" w:hAnsi="仿宋_GB2312" w:eastAsia="仿宋_GB2312" w:cs="仿宋_GB2312"/>
          <w:b/>
          <w:bCs/>
          <w:color w:val="000000"/>
          <w:sz w:val="28"/>
          <w:szCs w:val="28"/>
          <w:u w:val="single"/>
        </w:rPr>
        <w:t>），</w:t>
      </w:r>
      <w:r>
        <w:rPr>
          <w:rFonts w:hint="eastAsia" w:ascii="仿宋_GB2312" w:eastAsia="仿宋_GB2312"/>
          <w:sz w:val="28"/>
          <w:szCs w:val="28"/>
          <w:u w:val="single"/>
        </w:rPr>
        <w:t>星期六、日正常上班</w:t>
      </w:r>
      <w:r>
        <w:rPr>
          <w:rFonts w:hint="eastAsia" w:ascii="仿宋_GB2312" w:hAnsi="仿宋_GB2312" w:eastAsia="仿宋_GB2312" w:cs="仿宋_GB2312"/>
          <w:b/>
          <w:bCs/>
          <w:color w:val="000000"/>
          <w:sz w:val="28"/>
          <w:szCs w:val="28"/>
          <w:u w:val="single"/>
        </w:rPr>
        <w:t>；</w:t>
      </w:r>
    </w:p>
    <w:p>
      <w:pPr>
        <w:snapToGrid w:val="0"/>
        <w:spacing w:line="560" w:lineRule="exact"/>
        <w:ind w:firstLine="420" w:firstLineChars="150"/>
        <w:rPr>
          <w:rFonts w:hint="eastAsia" w:ascii="仿宋_GB2312" w:hAnsi="仿宋_GB2312" w:eastAsia="仿宋_GB2312" w:cs="仿宋_GB2312"/>
          <w:color w:val="000000"/>
          <w:sz w:val="28"/>
          <w:szCs w:val="28"/>
          <w:lang w:val="en-US" w:eastAsia="zh-CN"/>
        </w:rPr>
      </w:pPr>
      <w:r>
        <w:rPr>
          <w:rFonts w:hint="eastAsia" w:ascii="仿宋_GB2312" w:eastAsia="仿宋_GB2312"/>
          <w:sz w:val="28"/>
          <w:szCs w:val="28"/>
        </w:rPr>
        <w:t>2.获取地点：</w:t>
      </w:r>
      <w:r>
        <w:rPr>
          <w:rFonts w:hint="eastAsia" w:ascii="仿宋_GB2312" w:hAnsi="仿宋_GB2312" w:eastAsia="仿宋_GB2312" w:cs="仿宋_GB2312"/>
          <w:color w:val="000000"/>
          <w:sz w:val="28"/>
          <w:szCs w:val="28"/>
        </w:rPr>
        <w:t>盐城市盐南高新区海洋路29号盐城交院驾驶培训有限公司</w:t>
      </w:r>
      <w:r>
        <w:rPr>
          <w:rFonts w:hint="eastAsia" w:ascii="仿宋_GB2312" w:hAnsi="仿宋_GB2312" w:eastAsia="仿宋_GB2312" w:cs="仿宋_GB2312"/>
          <w:color w:val="000000"/>
          <w:sz w:val="28"/>
          <w:szCs w:val="28"/>
          <w:lang w:val="en-US" w:eastAsia="zh-CN"/>
        </w:rPr>
        <w:t>经理室</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联系人：吴老师13851056339</w:t>
      </w:r>
    </w:p>
    <w:p>
      <w:pPr>
        <w:spacing w:line="560" w:lineRule="exact"/>
        <w:rPr>
          <w:rFonts w:ascii="黑体" w:hAnsi="黑体" w:eastAsia="黑体" w:cs="黑体"/>
          <w:b/>
          <w:bCs/>
          <w:sz w:val="28"/>
          <w:szCs w:val="28"/>
        </w:rPr>
      </w:pPr>
      <w:r>
        <w:rPr>
          <w:rFonts w:hint="eastAsia" w:ascii="黑体" w:hAnsi="黑体" w:eastAsia="黑体" w:cs="黑体"/>
          <w:b/>
          <w:bCs/>
          <w:sz w:val="28"/>
          <w:szCs w:val="28"/>
        </w:rPr>
        <w:t>三、谈判响应文件递交时间及地点</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eastAsia="仿宋_GB2312"/>
          <w:sz w:val="28"/>
          <w:szCs w:val="28"/>
        </w:rPr>
        <w:t xml:space="preserve">1. 谈判响应文件递交地点: </w:t>
      </w:r>
      <w:r>
        <w:rPr>
          <w:rFonts w:hint="eastAsia" w:ascii="仿宋_GB2312" w:hAnsi="仿宋_GB2312" w:eastAsia="仿宋_GB2312" w:cs="仿宋_GB2312"/>
          <w:color w:val="000000"/>
          <w:sz w:val="28"/>
          <w:szCs w:val="28"/>
        </w:rPr>
        <w:t>盐城市盐南高新区海洋路29号盐城交院驾驶培训有限公司综合部</w:t>
      </w:r>
    </w:p>
    <w:p>
      <w:pPr>
        <w:spacing w:line="440" w:lineRule="exact"/>
        <w:ind w:firstLine="649" w:firstLineChars="232"/>
        <w:jc w:val="left"/>
        <w:rPr>
          <w:rFonts w:ascii="仿宋_GB2312" w:hAnsi="仿宋_GB2312" w:eastAsia="仿宋_GB2312" w:cs="仿宋_GB2312"/>
          <w:b/>
          <w:bCs/>
          <w:color w:val="000000"/>
          <w:sz w:val="28"/>
          <w:szCs w:val="28"/>
          <w:u w:val="single"/>
        </w:rPr>
      </w:pPr>
      <w:r>
        <w:rPr>
          <w:rFonts w:hint="eastAsia" w:ascii="仿宋_GB2312" w:hAnsi="仿宋_GB2312" w:eastAsia="仿宋_GB2312" w:cs="仿宋_GB2312"/>
          <w:color w:val="000000"/>
          <w:sz w:val="28"/>
          <w:szCs w:val="28"/>
        </w:rPr>
        <w:t>2. 谈判响应文件递交截止时间：</w:t>
      </w:r>
      <w:r>
        <w:rPr>
          <w:rFonts w:hint="eastAsia" w:ascii="仿宋_GB2312" w:hAnsi="仿宋_GB2312" w:eastAsia="仿宋_GB2312" w:cs="仿宋_GB2312"/>
          <w:b/>
          <w:bCs/>
          <w:color w:val="000000"/>
          <w:sz w:val="28"/>
          <w:szCs w:val="28"/>
          <w:u w:val="single"/>
        </w:rPr>
        <w:t>2021年7月</w:t>
      </w:r>
      <w:r>
        <w:rPr>
          <w:rFonts w:hint="eastAsia" w:ascii="仿宋_GB2312" w:hAnsi="仿宋_GB2312" w:eastAsia="仿宋_GB2312" w:cs="仿宋_GB2312"/>
          <w:b/>
          <w:bCs/>
          <w:color w:val="000000"/>
          <w:sz w:val="28"/>
          <w:szCs w:val="28"/>
          <w:u w:val="single"/>
          <w:lang w:val="en-US" w:eastAsia="zh-CN"/>
        </w:rPr>
        <w:t>25</w:t>
      </w:r>
      <w:r>
        <w:rPr>
          <w:rFonts w:hint="eastAsia" w:ascii="仿宋_GB2312" w:hAnsi="仿宋_GB2312" w:eastAsia="仿宋_GB2312" w:cs="仿宋_GB2312"/>
          <w:b/>
          <w:bCs/>
          <w:color w:val="000000"/>
          <w:sz w:val="28"/>
          <w:szCs w:val="28"/>
          <w:u w:val="single"/>
        </w:rPr>
        <w:t>日9时</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分前；</w:t>
      </w:r>
    </w:p>
    <w:p>
      <w:pPr>
        <w:spacing w:line="440" w:lineRule="exact"/>
        <w:ind w:firstLine="649" w:firstLineChars="232"/>
        <w:jc w:val="left"/>
        <w:rPr>
          <w:rFonts w:ascii="仿宋_GB2312" w:hAnsi="仿宋_GB2312" w:eastAsia="仿宋_GB2312" w:cs="仿宋_GB2312"/>
          <w:b/>
          <w:bCs/>
          <w:color w:val="000000"/>
          <w:sz w:val="28"/>
          <w:szCs w:val="28"/>
          <w:u w:val="single"/>
        </w:rPr>
      </w:pPr>
      <w:r>
        <w:rPr>
          <w:rFonts w:hint="eastAsia" w:ascii="仿宋_GB2312" w:hAnsi="仿宋_GB2312" w:eastAsia="仿宋_GB2312" w:cs="仿宋_GB2312"/>
          <w:color w:val="000000"/>
          <w:sz w:val="28"/>
          <w:szCs w:val="28"/>
        </w:rPr>
        <w:t>3. 谈判时间：</w:t>
      </w:r>
      <w:r>
        <w:rPr>
          <w:rFonts w:hint="eastAsia" w:ascii="仿宋_GB2312" w:hAnsi="仿宋_GB2312" w:eastAsia="仿宋_GB2312" w:cs="仿宋_GB2312"/>
          <w:b/>
          <w:bCs/>
          <w:color w:val="000000"/>
          <w:sz w:val="28"/>
          <w:szCs w:val="28"/>
          <w:u w:val="single"/>
        </w:rPr>
        <w:t>2021年7月</w:t>
      </w:r>
      <w:r>
        <w:rPr>
          <w:rFonts w:hint="eastAsia" w:ascii="仿宋_GB2312" w:hAnsi="仿宋_GB2312" w:eastAsia="仿宋_GB2312" w:cs="仿宋_GB2312"/>
          <w:b/>
          <w:bCs/>
          <w:color w:val="000000"/>
          <w:sz w:val="28"/>
          <w:szCs w:val="28"/>
          <w:u w:val="single"/>
          <w:lang w:val="en-US" w:eastAsia="zh-CN"/>
        </w:rPr>
        <w:t>25</w:t>
      </w:r>
      <w:r>
        <w:rPr>
          <w:rFonts w:hint="eastAsia" w:ascii="仿宋_GB2312" w:hAnsi="仿宋_GB2312" w:eastAsia="仿宋_GB2312" w:cs="仿宋_GB2312"/>
          <w:b/>
          <w:bCs/>
          <w:color w:val="000000"/>
          <w:sz w:val="28"/>
          <w:szCs w:val="28"/>
          <w:u w:val="single"/>
        </w:rPr>
        <w:t>日9时</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分前；（北京时间，上同）；</w:t>
      </w:r>
    </w:p>
    <w:p>
      <w:pPr>
        <w:spacing w:line="440" w:lineRule="exact"/>
        <w:ind w:firstLine="649" w:firstLineChars="232"/>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4、招标（采购）资料费200元，投标人交纳的招标（采购）资料费，售后不退。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四、谈判保证金及履约保证金</w:t>
      </w:r>
    </w:p>
    <w:p>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rPr>
        <w:t>2000元</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auto"/>
          <w:sz w:val="28"/>
          <w:szCs w:val="28"/>
        </w:rPr>
        <w:t>投标保证金必须使用银行本票、</w:t>
      </w:r>
      <w:r>
        <w:rPr>
          <w:rFonts w:hint="eastAsia" w:ascii="仿宋_GB2312" w:hAnsi="仿宋_GB2312" w:eastAsia="仿宋_GB2312" w:cs="仿宋_GB2312"/>
          <w:color w:val="auto"/>
          <w:sz w:val="28"/>
          <w:szCs w:val="28"/>
          <w:lang w:val="en-US" w:eastAsia="zh-CN"/>
        </w:rPr>
        <w:t>银行承兑</w:t>
      </w:r>
      <w:r>
        <w:rPr>
          <w:rFonts w:hint="eastAsia" w:ascii="仿宋_GB2312" w:hAnsi="仿宋_GB2312" w:eastAsia="仿宋_GB2312" w:cs="仿宋_GB2312"/>
          <w:color w:val="auto"/>
          <w:sz w:val="28"/>
          <w:szCs w:val="28"/>
        </w:rPr>
        <w:t>汇票</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电汇</w:t>
      </w:r>
      <w:r>
        <w:rPr>
          <w:rFonts w:hint="eastAsia" w:ascii="仿宋_GB2312" w:hAnsi="仿宋_GB2312" w:eastAsia="仿宋_GB2312" w:cs="仿宋_GB2312"/>
          <w:color w:val="auto"/>
          <w:sz w:val="28"/>
          <w:szCs w:val="28"/>
        </w:rPr>
        <w:t>形式，投标人未能按上述要求提交投标保证金的，招标人将视其为不响应投标而予以拒绝。</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2.投标保证金核验方式为：投标文件递交的同时，投标单位将本票、汇票直接提交给投标文件接收人员。未按上述要求提交保证金交款凭据的，投标文件将不予接收。</w:t>
      </w:r>
    </w:p>
    <w:p>
      <w:pPr>
        <w:spacing w:line="50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个工作日内向招标人指定账号缴纳履约保证金10</w:t>
      </w:r>
      <w:r>
        <w:rPr>
          <w:rFonts w:ascii="仿宋_GB2312" w:hAnsi="仿宋_GB2312" w:eastAsia="仿宋_GB2312" w:cs="仿宋_GB2312"/>
          <w:color w:val="000000"/>
          <w:sz w:val="28"/>
          <w:szCs w:val="28"/>
        </w:rPr>
        <w:t>00</w:t>
      </w:r>
      <w:r>
        <w:rPr>
          <w:rFonts w:hint="eastAsia" w:ascii="仿宋_GB2312" w:hAnsi="仿宋_GB2312" w:eastAsia="仿宋_GB2312" w:cs="仿宋_GB2312"/>
          <w:color w:val="000000"/>
          <w:sz w:val="28"/>
          <w:szCs w:val="28"/>
        </w:rPr>
        <w:t>0元。</w:t>
      </w:r>
    </w:p>
    <w:p>
      <w:pPr>
        <w:spacing w:line="50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00" w:lineRule="exact"/>
        <w:ind w:firstLine="560" w:firstLineChars="20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履约保证金的退还：项目完成后全额退还（无息）。</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hAnsi="仿宋_GB2312" w:eastAsia="仿宋_GB2312" w:cs="仿宋_GB2312"/>
          <w:color w:val="000000"/>
          <w:sz w:val="28"/>
          <w:szCs w:val="28"/>
        </w:rPr>
        <w:t>为了提高招标采购效率，节约社会交易成本及时间，希望报名并购买了谈判响应文件，而又决定不参加本次谈判的投标人，请在谈判响应文件递交截止时间前1天书面或电话告知我们（联系人：</w:t>
      </w:r>
      <w:r>
        <w:rPr>
          <w:rFonts w:hint="eastAsia" w:ascii="仿宋_GB2312" w:eastAsia="仿宋_GB2312" w:cs="仿宋_GB2312"/>
          <w:color w:val="000000"/>
          <w:sz w:val="28"/>
          <w:szCs w:val="28"/>
        </w:rPr>
        <w:t>吴老师13851056339</w:t>
      </w:r>
      <w:r>
        <w:rPr>
          <w:rFonts w:hint="eastAsia" w:ascii="仿宋_GB2312" w:hAnsi="仿宋_GB2312" w:eastAsia="仿宋_GB2312" w:cs="仿宋_GB2312"/>
          <w:color w:val="000000"/>
          <w:sz w:val="28"/>
          <w:szCs w:val="28"/>
        </w:rPr>
        <w:t>），对于无故临时放弃的投标人，我司将根据情况将投标单位纳入招投标黑名单。对您的支持与配合，谨此致谢。</w:t>
      </w:r>
    </w:p>
    <w:p>
      <w:pPr>
        <w:spacing w:line="500" w:lineRule="exact"/>
        <w:ind w:firstLine="562" w:firstLineChars="200"/>
        <w:rPr>
          <w:rFonts w:ascii="黑体" w:hAnsi="黑体" w:eastAsia="黑体" w:cs="黑体"/>
          <w:b/>
          <w:bCs/>
          <w:color w:val="000000"/>
          <w:sz w:val="28"/>
          <w:szCs w:val="28"/>
        </w:rPr>
      </w:pPr>
      <w:r>
        <w:rPr>
          <w:rFonts w:hint="eastAsia" w:ascii="黑体" w:hAnsi="黑体" w:eastAsia="黑体" w:cs="黑体"/>
          <w:b/>
          <w:bCs/>
          <w:color w:val="000000"/>
          <w:sz w:val="28"/>
          <w:szCs w:val="28"/>
        </w:rPr>
        <w:t>六、疫情防控要求</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因疫情防控需要，为确保校园安全投标人进入江苏省盐城技师学院海洋路校区时应服从下列疫情防控措施：</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（1）投标人从学校西大门进出；投标人车辆一律不得进入校园。</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 各投标人项目授权代表限1人进入校园；项目授权代表进入校园时须自行配戴口罩、做好手部消毒及投标文件等消毒防护工作。</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进入校园前须在西大门外相关工作人员处进行信息实名登记并接受体温测量（体温异常者拒绝进入校园），主动出示有效“健康码”（非绿色健康码拒绝进入校园），出示本人近14天的出行轨迹（可通过手机短信查询），来校前14天内有疫情中高风险疫区（以开标前一日权威发布的疫情风险等级区域划分为依据）旅居史的人员，按照疾控部门要求执行。</w:t>
      </w:r>
    </w:p>
    <w:p>
      <w:pPr>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（4）投标人进入校园后应在指定地点参与投标活动，不到非相关场所活动；投标工作结束后应立即离开校园，</w:t>
      </w:r>
      <w:bookmarkStart w:id="0" w:name="_GoBack"/>
      <w:bookmarkEnd w:id="0"/>
      <w:r>
        <w:rPr>
          <w:rFonts w:hint="eastAsia" w:ascii="仿宋_GB2312" w:hAnsi="仿宋_GB2312" w:eastAsia="仿宋_GB2312" w:cs="仿宋_GB2312"/>
          <w:color w:val="000000"/>
          <w:sz w:val="28"/>
          <w:szCs w:val="28"/>
        </w:rPr>
        <w:t>不逗留。</w:t>
      </w:r>
    </w:p>
    <w:p>
      <w:pPr>
        <w:shd w:val="clear" w:color="auto" w:fill="FFFFFF"/>
        <w:spacing w:line="500" w:lineRule="exact"/>
        <w:ind w:firstLine="562" w:firstLineChars="200"/>
        <w:rPr>
          <w:rFonts w:ascii="黑体" w:hAnsi="黑体" w:eastAsia="黑体"/>
          <w:b/>
          <w:bCs/>
          <w:color w:val="auto"/>
          <w:sz w:val="28"/>
          <w:szCs w:val="28"/>
        </w:rPr>
      </w:pPr>
      <w:r>
        <w:rPr>
          <w:rFonts w:hint="eastAsia" w:ascii="仿宋_GB2312" w:hAnsi="仿宋_GB2312" w:eastAsia="仿宋_GB2312" w:cs="仿宋_GB2312"/>
          <w:b/>
          <w:bCs/>
          <w:color w:val="auto"/>
          <w:sz w:val="28"/>
          <w:szCs w:val="28"/>
        </w:rPr>
        <w:t>注：本项目投标人在递交投标文件时须同时递交投标保证金交款凭据，本次投标保证金以银行本票</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银行承兑</w:t>
      </w:r>
      <w:r>
        <w:rPr>
          <w:rFonts w:hint="eastAsia" w:ascii="仿宋_GB2312" w:hAnsi="仿宋_GB2312" w:eastAsia="仿宋_GB2312" w:cs="仿宋_GB2312"/>
          <w:b/>
          <w:bCs/>
          <w:color w:val="auto"/>
          <w:sz w:val="28"/>
          <w:szCs w:val="28"/>
        </w:rPr>
        <w:t>汇票</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电汇</w:t>
      </w:r>
      <w:r>
        <w:rPr>
          <w:rFonts w:hint="eastAsia" w:ascii="仿宋_GB2312" w:hAnsi="仿宋_GB2312" w:eastAsia="仿宋_GB2312" w:cs="仿宋_GB2312"/>
          <w:b/>
          <w:bCs/>
          <w:color w:val="auto"/>
          <w:sz w:val="28"/>
          <w:szCs w:val="28"/>
        </w:rPr>
        <w:t>形式（提供银行本票或</w:t>
      </w:r>
      <w:r>
        <w:rPr>
          <w:rFonts w:hint="eastAsia" w:ascii="仿宋_GB2312" w:hAnsi="仿宋_GB2312" w:eastAsia="仿宋_GB2312" w:cs="仿宋_GB2312"/>
          <w:b/>
          <w:bCs/>
          <w:color w:val="auto"/>
          <w:sz w:val="28"/>
          <w:szCs w:val="28"/>
          <w:lang w:val="en-US" w:eastAsia="zh-CN"/>
        </w:rPr>
        <w:t>银行承兑</w:t>
      </w:r>
      <w:r>
        <w:rPr>
          <w:rFonts w:hint="eastAsia" w:ascii="仿宋_GB2312" w:hAnsi="仿宋_GB2312" w:eastAsia="仿宋_GB2312" w:cs="仿宋_GB2312"/>
          <w:b/>
          <w:bCs/>
          <w:color w:val="auto"/>
          <w:sz w:val="28"/>
          <w:szCs w:val="28"/>
        </w:rPr>
        <w:t>汇票</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电汇凭证</w:t>
      </w:r>
      <w:r>
        <w:rPr>
          <w:rFonts w:hint="eastAsia" w:ascii="仿宋_GB2312" w:hAnsi="仿宋_GB2312" w:eastAsia="仿宋_GB2312" w:cs="仿宋_GB2312"/>
          <w:b/>
          <w:bCs/>
          <w:color w:val="auto"/>
          <w:sz w:val="28"/>
          <w:szCs w:val="28"/>
        </w:rPr>
        <w:t>，谢绝其他形式）缴纳，开标前带至开标现场（详见投标保证金条款的相关规定）。</w:t>
      </w:r>
    </w:p>
    <w:p>
      <w:pPr>
        <w:tabs>
          <w:tab w:val="left" w:pos="2600"/>
        </w:tabs>
        <w:spacing w:beforeLines="50" w:afterLines="50"/>
        <w:rPr>
          <w:rFonts w:eastAsia="黑体"/>
          <w:sz w:val="44"/>
        </w:rPr>
      </w:pPr>
    </w:p>
    <w:p>
      <w:pPr>
        <w:tabs>
          <w:tab w:val="left" w:pos="2600"/>
        </w:tabs>
        <w:spacing w:beforeLines="50" w:afterLines="50"/>
        <w:rPr>
          <w:rFonts w:eastAsia="黑体"/>
          <w:sz w:val="44"/>
        </w:rPr>
      </w:pPr>
    </w:p>
    <w:p>
      <w:pPr>
        <w:pStyle w:val="2"/>
        <w:ind w:firstLine="210"/>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635FF"/>
    <w:rsid w:val="01623C37"/>
    <w:rsid w:val="1801525B"/>
    <w:rsid w:val="1B9C47B9"/>
    <w:rsid w:val="20014495"/>
    <w:rsid w:val="21F80831"/>
    <w:rsid w:val="31EC585B"/>
    <w:rsid w:val="320635FF"/>
    <w:rsid w:val="36E324AE"/>
    <w:rsid w:val="37ED05EF"/>
    <w:rsid w:val="3E99093A"/>
    <w:rsid w:val="451F2304"/>
    <w:rsid w:val="62823913"/>
    <w:rsid w:val="6D4B182A"/>
    <w:rsid w:val="75AC39D2"/>
    <w:rsid w:val="7B4E7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4"/>
    </w:rPr>
  </w:style>
  <w:style w:type="paragraph" w:styleId="3">
    <w:name w:val="Body Text"/>
    <w:basedOn w:val="1"/>
    <w:qFormat/>
    <w:uiPriority w:val="0"/>
    <w:pPr>
      <w:spacing w:after="120"/>
    </w:pPr>
  </w:style>
  <w:style w:type="paragraph" w:styleId="4">
    <w:name w:val="Body Text Indent"/>
    <w:basedOn w:val="1"/>
    <w:qFormat/>
    <w:uiPriority w:val="0"/>
    <w:pPr>
      <w:ind w:left="-105" w:firstLine="232" w:firstLineChars="232"/>
    </w:pPr>
    <w:rPr>
      <w:rFonts w:eastAsia="仿宋_GB2312"/>
      <w:sz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2021-07-13T08:08:00Z</dcterms:created>
  <dc:creator>成</dc:creator>
  <cp:lastModifiedBy>成</cp:lastModifiedBy>
  <dcterms:modified xsi:type="dcterms:W3CDTF">2021-07-21T02:56:34Z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D9528611F3C942D09E3FC0DA58B59948</vt:lpwstr>
  </property>
</Properties>
</file>