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val="en-US"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w:t>
      </w:r>
      <w:r>
        <w:rPr>
          <w:rFonts w:hint="eastAsia" w:ascii="楷体_GB2312" w:hAnsi="楷体_GB2312" w:eastAsia="楷体_GB2312" w:cs="楷体_GB2312"/>
          <w:b/>
          <w:bCs/>
          <w:color w:val="000000"/>
          <w:sz w:val="36"/>
          <w:szCs w:val="36"/>
          <w:u w:val="single"/>
          <w:lang w:val="en-US" w:eastAsia="zh-CN"/>
        </w:rPr>
        <w:t>2</w:t>
      </w:r>
      <w:r>
        <w:rPr>
          <w:rFonts w:hint="eastAsia"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57</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海洋路校区制冷与空调实训室集中供气系统施工项目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w:t>
      </w:r>
      <w:r>
        <w:rPr>
          <w:rFonts w:hint="eastAsia" w:ascii="黑体" w:eastAsia="黑体" w:cs="黑体"/>
          <w:color w:val="000000"/>
          <w:sz w:val="44"/>
          <w:szCs w:val="44"/>
          <w:lang w:val="en-US" w:eastAsia="zh-CN"/>
        </w:rPr>
        <w:t>2</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8</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8"/>
        <w:spacing w:line="600" w:lineRule="exact"/>
        <w:ind w:firstLine="742"/>
        <w:rPr>
          <w:rFonts w:ascii="仿宋_GB2312"/>
          <w:color w:val="000000"/>
          <w:szCs w:val="32"/>
        </w:rPr>
      </w:pPr>
    </w:p>
    <w:p>
      <w:pPr>
        <w:pStyle w:val="8"/>
        <w:spacing w:line="600" w:lineRule="exact"/>
        <w:ind w:firstLine="742"/>
        <w:rPr>
          <w:rFonts w:ascii="仿宋_GB2312"/>
          <w:color w:val="000000"/>
          <w:szCs w:val="32"/>
        </w:rPr>
      </w:pPr>
    </w:p>
    <w:p>
      <w:pPr>
        <w:pStyle w:val="8"/>
        <w:spacing w:line="600" w:lineRule="exact"/>
        <w:ind w:left="0" w:firstLine="0" w:firstLineChars="0"/>
        <w:rPr>
          <w:rFonts w:ascii="仿宋_GB2312"/>
          <w:color w:val="000000"/>
          <w:szCs w:val="32"/>
        </w:rPr>
      </w:pPr>
    </w:p>
    <w:p>
      <w:pPr>
        <w:pStyle w:val="8"/>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海洋路校区制冷与空调实训室集中供气系统施工项目</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p>
      <w:pPr>
        <w:snapToGrid w:val="0"/>
        <w:spacing w:line="460" w:lineRule="exact"/>
        <w:ind w:firstLine="560" w:firstLineChars="200"/>
        <w:rPr>
          <w:rFonts w:hint="default" w:ascii="仿宋_GB2312" w:eastAsia="仿宋_GB2312" w:cs="仿宋_GB2312"/>
          <w:color w:val="000000"/>
          <w:sz w:val="28"/>
          <w:szCs w:val="28"/>
          <w:lang w:val="en-US" w:eastAsia="zh-CN"/>
        </w:rPr>
      </w:pPr>
      <w:r>
        <w:rPr>
          <w:rFonts w:hint="eastAsia" w:ascii="仿宋_GB2312" w:eastAsia="仿宋_GB2312" w:cs="仿宋_GB2312"/>
          <w:color w:val="000000"/>
          <w:sz w:val="28"/>
          <w:szCs w:val="28"/>
          <w:lang w:val="en-US" w:eastAsia="zh-CN"/>
        </w:rPr>
        <w:t>我校拟在海洋路校区制冷与空调实训室安装终端集中供气系统，工程量清单见附件。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根据设计图纸、设计要求和使用单位要求对制冷实训教室集中供气系统进行符合国家安全技术要求的安装，并调试到位</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安装使用年限：20年。</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质保期：本工程及本工程所使用的管道、阀门、报警系统、切换系统、零部件质保期不低于3年。</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（四）、主要设备技术要求</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实训室使用的气体均来自于气瓶间；气瓶间分为易燃易爆气体气瓶间和惰性气体气瓶间（助燃气体必须单独存放）。从气瓶间到末端用气点整个管线系统，在设计上采用两级减压（一级由供气控制系统调节，二级由使用点的控制阀调节）方式供气，得到非常稳定的压力及流量，以保证实验室各个仪器的使用需求。</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1、供气室内，管道和压力调节装置应沿墙分布，为钢瓶留出足够的地面空间。气瓶安装在经防腐处理气瓶固定件内。</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2、阀门：★ 半自动切换系统、一级减压阀、二级减压阀及桌面式终端减压阀：本体为进口316L不锈钢材料，隔膜为哈氏合金Hastelloy C276材质，选用优质品牌产品；</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▲提供制造厂家或其国内总代针对本项目授权证明、报关证明（加总公司公章）；</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▲产品须通过ISO9001质量体系认证（加总公司公章）；</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▲产品须通过ISO45001职业健康安全体系认证（加盖总公司公章）；</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▲产品须通过ISO14001环境管理体系认证（加盖总公司公章）；</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▲国际安全认证（加盖总公司公章）；</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▲产品须通过第三方盐雾腐蚀检测，有完整的性能检测报告。</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（1）★ 双侧自动切换系统：</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▲双侧自动切换系统和钢瓶之间采用SS316L不锈钢软管连接，必须配置高压单向阀、过滤器、安全卸荷阀，更换钢瓶时防止气体回流。</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▲双侧式自动型减压供气系统；自动切换双侧供气，24H不间断连续供气；</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▲双侧配置废气吹扫膜片阀组；保证使用气体纯度保证6.0级；</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▲双侧配置主进气控制膜片阀组；方便气体控制和系统检修；</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▲阀门阀体组件和阀芯采用不锈钢316L材质；</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▲减压器和隔膜阀膜片须采用哈氏合金Hastelloy C276材质；</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（2）★ 管路式减压器或桌面式终端减压器：</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▲管路式减压器及桌面式终端减压器；配置进气截止阀；控制进气和产品检修；</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▲阀门阀体组件和阀芯采用不锈钢316L材质；</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▲减压器膜片须采用哈氏合金Hastelloy C276材质；</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▲减压器上盖配置防爆泄压孔；</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▲减压器组件100%超声波清洗，100%氦气检漏；</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其他非腐蚀性气体选用国产优质阀门：★ 半自动切换系统、一级减压阀、二级减压阀及桌面式终端减压阀：本体为SS316L不锈钢材料，隔膜为哈氏合金Hastelloy C276材质，选用国产优质品牌产品；</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半自动切换控制面板：</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型号：EF-R2100P-200-16-00</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进气压力：最大300bar</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出气压力：2/6/16/25bar</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材质：316L</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进气连接：1/4NPT(F)</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输出连接：选配</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标准配置：进气膜片阀</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 xml:space="preserve">         带排空吹扫系统</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左侧、右侧内置式单向阀</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安全泄压阀</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面板式二级阀</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型号：EF-R31P-S-10-00</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进气压力：最大50bar</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出气压力：2/6/16/25bar</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材质：316L</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进气连接：1/4NPT(F)</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输出连接：选配</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3、不锈钢球阀：</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实验室终端减压阀，非腐蚀性气体，纯度99.999% [仪器端]，配合各级减压阀组以及终端用气点使用。选用国产优质品牌公司产品。并提供厂家授权证明和报关证明、产品须通过第三方检测，有完整的检测报告。</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4、不锈钢管道：</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（1）气体采用国产优质品品牌所有管道均采用3/8*1.65MM”BA级SS316L实验室专用ASTMA269无缝精扎不锈钢管道，产品须通过第三方检测，有完整的检测报告，连接仪器根据实际情况配备。</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（2）管道必须具有良好的耐腐蚀性能，其内外表面都经过抛光处理，管道内表面经过化学清洗，外观光亮美观，内表面的光洁度好，使得气体的流速均匀稳定。管道与管道之间采用轨道式数码自动焊接。</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（3）管路在吊顶上铺设，边台根据需要可以有服务柱也可以直接在墙上明装。所有管路支架经防腐处理，并标示管路走向。</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bookmarkStart w:id="0" w:name="_Toc231180192"/>
      <w:r>
        <w:rPr>
          <w:rFonts w:hint="eastAsia" w:ascii="仿宋_GB2312" w:eastAsia="仿宋_GB2312" w:cs="仿宋_GB2312"/>
          <w:b w:val="0"/>
          <w:bCs w:val="0"/>
          <w:color w:val="000000"/>
          <w:sz w:val="28"/>
          <w:szCs w:val="28"/>
          <w:lang w:val="en-US" w:eastAsia="zh-CN"/>
        </w:rPr>
        <w:t>5、系统调试、测试要求：</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（1）强度实验：管内充入高纯氮气，逐级增加压力，使压力到达1.15--1.5倍设计压力，保持此压力，如10分钟内压力不降为合格；</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（2）气密性实验：管内充入高纯氮气使压力到达工作压力的1.15--1.5倍，保持此压力，如24小时内压力不偏差0.5%为合格；</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（3）洁净测试：管路中充入高纯氮气,关闭所有阀门，打开末端阀用一张白布放在管口一分钟如白布上无杂质和水份即为合格。</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6低压报警系统：</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为了集中供气系统的使用方便，集中供气系统必须设置压力报警系统，并且需要满足以下条件： 能探测每路气体每个输入端（气源/气瓶组）的压力。</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能设置低于或高于某个压力值，并且在满足设置数据条件下，监控屏上会有报警信息提示，同时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驱动声光报警器报警。</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●显示器供电电压：DC24V±10%， 主机功率：&lt;60W</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●通讯接口：RS485*2、RS232*1、WAN网口*1，通讯协议：标准ModBus RTU协议</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●LCD尺寸：10.1寸</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●工作环境：-10~55摄氏度</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●总线电缆规格：RVSP2*0.5（通讯距离&lt;500米）；RVSP2*0.75（通讯距离&gt;500米）；</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●气压监测点数：1～16路（其他未列路数根据需求定制）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●泄漏监测点数：1～10路（其他未列路数根据需求定制）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●风机控制点数：1～10路（单风机：AC220V 200W，其他未列路数根据需求定制）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●电磁阀控制点数：1～10路（电磁阀：DC24V，其他未列路数根据需求定制）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●组装总尺寸：长度500*宽度570*厚度155MM（带控制型）；</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长度360*宽度340*厚度95MM（不带控制型）</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●支持用户自定义气压单位选择（Map Psi、KPa、Bar）</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●支持用户自定义选择传感器压力量程(如0-1Map, 0-4Map, 0-20Map，0-100LEL,0-30VOL)</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●支持用户自定义浓度单位选择（VOL LEL PPM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●支持设置内部压力低压高压报警参数值</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●支持设置内部泄露高报报警参数值</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●支持压力声光报警，支持泄露声光报警，支持压力浓度声光报警单独取消或静音</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●支持内部气体种类名称自定义，支持内部气体种类字体颜色，图标底色自定义</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●支持报警静音时间自定义</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●支持显示压力/浓度数值单位1-2位数</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●支持历史数值，历史报警记录查询，历史曲线实时查看</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●支持所有参数设置完毕后，参数预览</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●可通过液晶屏上自带网口扩展多台显示主机监控</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●可选配多功能GPRS远程控制器，通过手机APP系统来实现远程压力报警</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_GB2312" w:eastAsia="仿宋_GB2312" w:cs="仿宋_GB2312"/>
          <w:b w:val="0"/>
          <w:bCs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7、GT-B60固定式气体探测器：</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检测空气中的可燃性气体或其他有毒有害气体浓度，当浓度达到或者超过预置报警值时，控制器会发出声光报警，以及时提醒采取安全措施，防止爆炸及中毒事故发生，从而保障生命、财产安全。采用工业级传感器，仪器外壳采用隔爆防爆结构设计，4-20mA标准信号或直接进入DOS系统；可广泛应用于冶金、石油、化工、市政等行业，处于国内同类产品领先水平。外壳采用隔爆结构设计的压铸壳体，上盖的凹槽设计可锁紧壳体，传感器的正面设计为向下结构，保证传感器与气体接触良好，进线口采用防爆防水接头。</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 xml:space="preserve">计量认证证书：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消防认证证书：</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 xml:space="preserve">响应时间：≤30S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 xml:space="preserve">工作温度：-20℃~50℃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 xml:space="preserve">工作湿度：10-95%RH（无冷凝）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 xml:space="preserve">外形尺寸：190×150×95mm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信号输出：三线制4-20mA或四线制RS485</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继电器控制端口：无源继电器输出、满载功率1KW</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产品型号：GT-B60固定式气体探测器</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安装方式：壁挂式安装</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壳体材料：压铸铝</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外形尺寸：190x150x95mm（长x宽x厚）</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防爆认证：</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防爆标志：</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工作电压：DC24V±10%</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 xml:space="preserve">输出电流：4-20mA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8 泄露报警侦测控制主机：</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16路/32路（4-20）mA/RS485变送器信号输入智能可控系统。该产品采用工业触摸7寸液晶屏，具有高稳定、高准确和高智能的特点，外接控制端口丰富，用户可以自由选择挂接变送器的种类和接入端口，并通过简单设置即可进行现场检测与报警。系统已集成声光报警，并提供继电器常开/常闭控制端。系统广泛应用于需要检测有毒有害气体的场合中，当现场的某种待检气体的指标超出或者低于所设置的标准时，系统会进行一系列的报警动作，如报警、排风、跳闸等。</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 xml:space="preserve">工作电压：交流220V±10%，50Hz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系统功耗：≤10W（无外设备）</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 xml:space="preserve">信号输出：两线制RS485(MODBUS)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工作湿度：10-95%RH（无冷凝）</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 xml:space="preserve">工作温度：-10℃~50℃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触摸屏尺寸：7寸</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外形尺寸：38×23×10cm</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继电器控制端口：无源继电器输出、满载功率1KW</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信号输入：三线制4-20mA或四线制RS4</w:t>
      </w:r>
    </w:p>
    <w:tbl>
      <w:tblPr>
        <w:tblStyle w:val="16"/>
        <w:tblpPr w:leftFromText="180" w:rightFromText="180" w:vertAnchor="text" w:horzAnchor="page" w:tblpXSpec="center" w:tblpY="604"/>
        <w:tblOverlap w:val="never"/>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2663"/>
        <w:gridCol w:w="1718"/>
        <w:gridCol w:w="3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1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产品型号：</w:t>
            </w:r>
          </w:p>
        </w:tc>
        <w:tc>
          <w:tcPr>
            <w:tcW w:w="26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BH-50触屏版壁挂式气体控制柜</w:t>
            </w:r>
          </w:p>
        </w:tc>
        <w:tc>
          <w:tcPr>
            <w:tcW w:w="1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系统功耗：</w:t>
            </w:r>
          </w:p>
        </w:tc>
        <w:tc>
          <w:tcPr>
            <w:tcW w:w="3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≤10W（无外设备）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外接端口：</w:t>
            </w:r>
          </w:p>
        </w:tc>
        <w:tc>
          <w:tcPr>
            <w:tcW w:w="26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16路、32路，64路</w:t>
            </w:r>
          </w:p>
        </w:tc>
        <w:tc>
          <w:tcPr>
            <w:tcW w:w="1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信号输出：</w:t>
            </w:r>
          </w:p>
        </w:tc>
        <w:tc>
          <w:tcPr>
            <w:tcW w:w="3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两线制RS485（MODBUS）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显示方式：</w:t>
            </w:r>
          </w:p>
        </w:tc>
        <w:tc>
          <w:tcPr>
            <w:tcW w:w="26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7寸工业触摸液晶屏</w:t>
            </w:r>
          </w:p>
        </w:tc>
        <w:tc>
          <w:tcPr>
            <w:tcW w:w="1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信号输入：</w:t>
            </w:r>
          </w:p>
        </w:tc>
        <w:tc>
          <w:tcPr>
            <w:tcW w:w="3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两线制4~20mA、三线制4~20mA或四线制RS485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工作电压：</w:t>
            </w:r>
          </w:p>
        </w:tc>
        <w:tc>
          <w:tcPr>
            <w:tcW w:w="26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交流220V±10%，50Hz</w:t>
            </w:r>
          </w:p>
        </w:tc>
        <w:tc>
          <w:tcPr>
            <w:tcW w:w="1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工作温度：</w:t>
            </w:r>
          </w:p>
        </w:tc>
        <w:tc>
          <w:tcPr>
            <w:tcW w:w="3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1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继电器控制端口：</w:t>
            </w:r>
          </w:p>
        </w:tc>
        <w:tc>
          <w:tcPr>
            <w:tcW w:w="26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无源继电器输出，满载功率1kW</w:t>
            </w:r>
          </w:p>
        </w:tc>
        <w:tc>
          <w:tcPr>
            <w:tcW w:w="1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外形尺寸（4.3寸屏）：</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_GB2312" w:eastAsia="仿宋_GB2312" w:cs="仿宋_GB2312"/>
                <w:b/>
                <w:bCs/>
                <w:color w:val="000000"/>
                <w:sz w:val="28"/>
                <w:szCs w:val="28"/>
                <w:lang w:val="en-US" w:eastAsia="zh-CN"/>
              </w:rPr>
            </w:pPr>
          </w:p>
        </w:tc>
        <w:tc>
          <w:tcPr>
            <w:tcW w:w="3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380x230x10mm（长x宽x厚）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jc w:val="center"/>
        </w:trPr>
        <w:tc>
          <w:tcPr>
            <w:tcW w:w="21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安装方式：</w:t>
            </w:r>
          </w:p>
        </w:tc>
        <w:tc>
          <w:tcPr>
            <w:tcW w:w="266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壁挂式安装</w:t>
            </w:r>
          </w:p>
        </w:tc>
        <w:tc>
          <w:tcPr>
            <w:tcW w:w="17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外形尺寸（7寸屏）：</w:t>
            </w:r>
          </w:p>
        </w:tc>
        <w:tc>
          <w:tcPr>
            <w:tcW w:w="36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440x290x10mm（长x宽x厚）</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1、负责设计、安装、测试及验证整个集中供气系统中的硬件设施。集中供气系统是指气体从气瓶通过把钢瓶集中管理，通过管路连接高压减压汇流排至实验室的终端。</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2、安全装置</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（1）减压阀，截止阀、球阀等均采用优质品牌。</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（2）在可燃、助燃气体管路上加装阻火阀（如O2、LPG）。</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（3）气瓶间保持良好通风，气瓶间24小时排风。</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（4）气瓶间内电器设备要求有防爆功能。</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（5）对于可燃气体配置可燃气体报警系统，当室内可燃气体报警。积聚至到危险上限时，可燃气体报警系统发出蜂鸣声及灯光指示。</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4、项目施工及要求：</w:t>
      </w:r>
      <w:bookmarkEnd w:id="0"/>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1、整体分配系统规格:</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 xml:space="preserve">（1）气体管道由中央供气室进入功能实训室部分沿天花板敷设，具体位置将根据实际建筑物装修时规划。在实训室内，气体管道需牢固的安装在管道架及管道码上。有关的气体管道将通过设备服务柱（如具备）引到所需的仪器上，如没有配置服务柱，所有二级减压阀们将结合现场实际情况在墙面安装。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 xml:space="preserve">（2）有关气体将由主气体管道分支的支气管道提供。每条支气管道均到二级减压阀，经二级精密减压后进入台面的各开关阀，并由此引到各所需的仪器台位置。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（3）气体管道从墙上的出口，通过设备功能柱（如具备），分配至每一个所需的实训室。</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（4）于设备功能柱中（如具备）或就近墙面，各气体管道均会根据使用用途安装减压调节阀以作气体压力控制之用，以分至每一个所需点上。</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 xml:space="preserve">2、集装格汇流排及调节阀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设于汇流排之上的自动开关，均设有安全减压阀门，调节阀、能显示钢瓶储量和输出的压力表及高压软管及钢瓶标准接头（气瓶连接组件)作连接气瓶之用。</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不锈钢高压软管(气瓶连接组件)需为不锈钢制造，安全减压阀门操作性良好。所有建议的阀门、调节阀、及压力表均需品质良好、不锈钢制、专为独特气体和能提供所需的配件。所有汇流排均需贴上所供应气体的名称。所有标签能抵受当地的天气变化。</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 xml:space="preserve">3、气体管道材质说明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（1）所有气体管道均为高素质、全退火、无缝精扎实验室专用ASTMA269标准的BA级SS316L不锈钢。</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（2）所有建议的气体分配管道的阀门、调节阀、及压力表均需品质良好、专为特殊气体所设计。</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（3）所有气体管道的直径不低于3/8”BA级SS316L不锈钢管，连接仪器根据实际情况配备。</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（4）所有气体管道安装隐蔽于实验桌及设备功能柱（如具备）内。</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（5）每组气体管道需于设备功能柱（如具备）上设有控制点，而该控制点均备有隔离球阀、管道式调压器及压力表。</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（6）每种气体需于设备功能柱（如具备）上配上隔离球阀、管道式调压器及压力表。在发生危险及维修时，能停止指定的实验桌的气体供应。</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（7）每种气体管道需于每1.5--2米距离有清晰标签显示所使用的气体及流向。</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（8）所有气体管道需用托架固定在固定墙或水泥天花。</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（9）所有气体管道托架及吊杆需为镀锌钢或铝合金材料。</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（10）所有气体管道需于在管径相应的规范以内得到托架固定及支撑。支撑距离需取决于管道最少的直径。</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（11）所有喉曲需有双边独立支持。</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（12）所有气体管道每隔1.0m--1.2m加管码固定，保证安装美观。</w:t>
      </w:r>
      <w:bookmarkStart w:id="1" w:name="_Toc231180194"/>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4、吹扫及测试</w:t>
      </w:r>
      <w:bookmarkEnd w:id="1"/>
      <w:r>
        <w:rPr>
          <w:rFonts w:hint="eastAsia" w:ascii="仿宋_GB2312" w:eastAsia="仿宋_GB2312" w:cs="仿宋_GB2312"/>
          <w:b w:val="0"/>
          <w:bCs w:val="0"/>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要保证气体管路系统的清洁吹扫，所有气体管路的检验根据标准程序，气体管路要做密封性压力检验，防止管路泄漏。并竣工验收时一并附上各类书面测试报告。</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 xml:space="preserve"> 5、管路系统的测试与验收：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1、设备试压按设备制造厂的规定要求进行。</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2、各管道无损检验合格后，应进行压力强度试验和气密性试验。在进行气压试验前应确认完管道吹扫工作。</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3、试验介质，所有气体管道采用高纯氮气（99.999%）进行测试。</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 xml:space="preserve">4、气压试验前，应用空气进行预试验，试验压力宜为0.2MPa。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5、气压试验时，试验压力应为设计压力的1.15--1.5倍，保压30min；泄漏性试验压力为设计压力的1.15--1.5倍，24小时。气体压力试验完成后进行检漏试验。气压试验时，应逐步缓慢增加压力，当压力升至试验压力的50%时，如未发现异状或泄漏，应继续按试验压力的10%逐级升压，每级稳压3min，直至试验压力。应在试验压力下保持10min，再将压力降至设计压力，应以氦气检测仪检测结果为合格。</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6、输送极度和高度危害介质以及可燃介质的管道，必须进行泄漏性试验。管道泄漏性试验压力应为设计压力。</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7、压力试验合格后，应提交相关测试报告。</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8、强度测试：管内冲入高纯氮气（99.999%）使压力到达1.6Mpa，保持此压力≥1小时，压力不降为合格。</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9、气密性测试：管内冲入高纯氮气（99.999%）使压力到达1.0Mpa，密闭不少于24小时，压力不下降为合格。</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10、稳定测试：开启所有使用设备，在正常工作情况下，工作压力波动小于5%为合格。</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11、洁净度测试：管路充进纯氮，关闭所有阀门，打开末端阀，用干净白布放置管口一分钟，无杂质无水分即为合格。</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12、实训室气体管道系统工程安装完成后，进行如下性能验收：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（1）气体管路安装到位，使用正常；</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（2）气体阀门开关正常；</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（3）压力表指示正常；</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（4）自动切换系统工作正常，吹扫模块使用正常；</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（5）管路经过支撑且支撑点牢固；</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（6）所有管道标识清楚；</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（7）气体输送管道保压，耐压测试正常，稳定性使用；</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（8）泄漏报警系统、低压监测系统测试正常，系统联动使用正常；</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（9）项目竣工资料及操作培训。</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（10）3年内如有大型活动，如市级或市级以上技能竞赛使用该系统安装单位应派出工程技术人员到现场提供技术支持服务。</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eastAsia="仿宋_GB2312" w:cs="仿宋_GB2312"/>
          <w:b w:val="0"/>
          <w:bCs w:val="0"/>
          <w:color w:val="000000"/>
          <w:sz w:val="28"/>
          <w:szCs w:val="28"/>
          <w:lang w:val="en-US" w:eastAsia="zh-CN"/>
        </w:rPr>
      </w:pPr>
      <w:r>
        <w:rPr>
          <w:rFonts w:hint="eastAsia" w:ascii="仿宋_GB2312" w:eastAsia="仿宋_GB2312" w:cs="仿宋_GB2312"/>
          <w:b w:val="0"/>
          <w:bCs w:val="0"/>
          <w:color w:val="000000"/>
          <w:sz w:val="28"/>
          <w:szCs w:val="28"/>
          <w:lang w:val="en-US" w:eastAsia="zh-CN"/>
        </w:rPr>
        <w:t>未描述的其他事项在安装、施工过程中应符合国家安全技术标准要求</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备注：</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1.</w:t>
      </w:r>
      <w:r>
        <w:rPr>
          <w:rFonts w:hint="eastAsia" w:ascii="仿宋_GB2312" w:eastAsia="仿宋_GB2312" w:cs="仿宋_GB2312"/>
          <w:b/>
          <w:bCs/>
          <w:color w:val="000000"/>
          <w:sz w:val="28"/>
          <w:szCs w:val="28"/>
          <w:lang w:eastAsia="zh-CN"/>
        </w:rPr>
        <w:t>采购人不集中组织现场踏勘，投标人应当充分了解现场状况，投标人自行进行现场踏勘，未踏勘现场导致的对项目需求了解</w:t>
      </w:r>
      <w:r>
        <w:rPr>
          <w:rFonts w:hint="default" w:ascii="仿宋_GB2312" w:eastAsia="仿宋_GB2312" w:cs="仿宋_GB2312"/>
          <w:b/>
          <w:bCs/>
          <w:color w:val="000000"/>
          <w:sz w:val="28"/>
          <w:szCs w:val="28"/>
          <w:lang w:eastAsia="zh-CN"/>
        </w:rPr>
        <w:t>不充分的，由投</w:t>
      </w:r>
      <w:r>
        <w:rPr>
          <w:rFonts w:hint="eastAsia" w:ascii="仿宋_GB2312" w:eastAsia="仿宋_GB2312" w:cs="仿宋_GB2312"/>
          <w:b/>
          <w:bCs/>
          <w:color w:val="000000"/>
          <w:sz w:val="28"/>
          <w:szCs w:val="28"/>
          <w:lang w:eastAsia="zh-CN"/>
        </w:rPr>
        <w:t>人自行承担。现场踏勘联系人，</w:t>
      </w:r>
      <w:r>
        <w:rPr>
          <w:rFonts w:hint="eastAsia" w:ascii="仿宋_GB2312" w:eastAsia="仿宋_GB2312" w:cs="仿宋_GB2312"/>
          <w:b/>
          <w:bCs/>
          <w:color w:val="000000"/>
          <w:sz w:val="28"/>
          <w:szCs w:val="28"/>
          <w:lang w:val="en-US" w:eastAsia="zh-CN"/>
        </w:rPr>
        <w:t>宋</w:t>
      </w:r>
      <w:r>
        <w:rPr>
          <w:rFonts w:hint="eastAsia" w:ascii="仿宋_GB2312" w:eastAsia="仿宋_GB2312" w:cs="仿宋_GB2312"/>
          <w:b/>
          <w:bCs/>
          <w:color w:val="000000"/>
          <w:sz w:val="28"/>
          <w:szCs w:val="28"/>
          <w:lang w:eastAsia="zh-CN"/>
        </w:rPr>
        <w:t>老师13905106807</w:t>
      </w:r>
      <w:r>
        <w:rPr>
          <w:rFonts w:hint="eastAsia" w:ascii="仿宋_GB2312" w:eastAsia="仿宋_GB2312" w:cs="仿宋_GB2312"/>
          <w:b/>
          <w:bCs/>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_GB2312" w:eastAsia="仿宋_GB2312" w:cs="仿宋_GB2312"/>
          <w:b/>
          <w:bCs/>
          <w:color w:val="000000"/>
          <w:sz w:val="28"/>
          <w:szCs w:val="28"/>
          <w:lang w:val="en-US" w:eastAsia="zh-CN"/>
        </w:rPr>
      </w:pPr>
      <w:r>
        <w:rPr>
          <w:rFonts w:hint="eastAsia" w:ascii="仿宋_GB2312" w:eastAsia="仿宋_GB2312" w:cs="仿宋_GB2312"/>
          <w:b/>
          <w:bCs/>
          <w:color w:val="000000"/>
          <w:sz w:val="28"/>
          <w:szCs w:val="28"/>
          <w:lang w:val="en-US" w:eastAsia="zh-CN"/>
        </w:rPr>
        <w:t>2.需在20个日历天内完成项目施工。</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default"/>
          <w:lang w:val="en-US" w:eastAsia="zh-CN"/>
        </w:rPr>
      </w:pPr>
      <w:r>
        <w:rPr>
          <w:rFonts w:hint="eastAsia" w:ascii="仿宋_GB2312" w:eastAsia="仿宋_GB2312" w:cs="仿宋_GB2312"/>
          <w:b/>
          <w:bCs/>
          <w:color w:val="000000"/>
          <w:sz w:val="28"/>
          <w:szCs w:val="28"/>
          <w:lang w:val="en-US" w:eastAsia="zh-CN"/>
        </w:rPr>
        <w:t>3.本项目的使用年限不少于20年，质保期3年。</w:t>
      </w:r>
    </w:p>
    <w:p>
      <w:pPr>
        <w:spacing w:line="560" w:lineRule="exact"/>
        <w:ind w:firstLine="560" w:firstLineChars="200"/>
        <w:rPr>
          <w:rFonts w:ascii="黑体" w:eastAsia="黑体"/>
          <w:sz w:val="28"/>
          <w:szCs w:val="28"/>
        </w:rPr>
      </w:pPr>
      <w:r>
        <w:rPr>
          <w:rFonts w:hint="eastAsia" w:ascii="黑体" w:eastAsia="黑体"/>
          <w:sz w:val="28"/>
          <w:szCs w:val="28"/>
        </w:rPr>
        <w:t>二、采购项目预算金额</w:t>
      </w:r>
    </w:p>
    <w:p>
      <w:pPr>
        <w:snapToGrid w:val="0"/>
        <w:spacing w:line="460" w:lineRule="exact"/>
        <w:ind w:firstLine="562" w:firstLineChars="200"/>
        <w:rPr>
          <w:rFonts w:hint="eastAsia" w:ascii="仿宋_GB2312" w:eastAsia="仿宋_GB2312" w:cs="仿宋_GB2312"/>
          <w:b/>
          <w:bCs/>
          <w:color w:val="000000"/>
          <w:sz w:val="28"/>
          <w:szCs w:val="28"/>
        </w:rPr>
      </w:pPr>
      <w:r>
        <w:rPr>
          <w:rFonts w:hint="eastAsia" w:ascii="仿宋_GB2312" w:eastAsia="仿宋_GB2312" w:cs="仿宋_GB2312"/>
          <w:b/>
          <w:bCs/>
          <w:color w:val="000000"/>
          <w:sz w:val="28"/>
          <w:szCs w:val="28"/>
          <w:lang w:eastAsia="zh-CN"/>
        </w:rPr>
        <w:t>项目预算</w:t>
      </w:r>
      <w:r>
        <w:rPr>
          <w:rFonts w:hint="eastAsia" w:ascii="仿宋_GB2312" w:eastAsia="仿宋_GB2312" w:cs="仿宋_GB2312"/>
          <w:b/>
          <w:bCs/>
          <w:color w:val="000000"/>
          <w:sz w:val="28"/>
          <w:szCs w:val="28"/>
          <w:lang w:val="en-US" w:eastAsia="zh-CN"/>
        </w:rPr>
        <w:t>36.53万元，超过预算的报价为无效报价</w:t>
      </w:r>
      <w:r>
        <w:rPr>
          <w:rFonts w:hint="eastAsia" w:ascii="仿宋_GB2312" w:eastAsia="仿宋_GB2312" w:cs="仿宋_GB2312"/>
          <w:b/>
          <w:bCs/>
          <w:color w:val="000000"/>
          <w:sz w:val="28"/>
          <w:szCs w:val="28"/>
          <w:lang w:eastAsia="zh-CN"/>
        </w:rPr>
        <w:t>。</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4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460" w:lineRule="exact"/>
        <w:ind w:firstLine="560" w:firstLineChars="200"/>
        <w:rPr>
          <w:rFonts w:ascii="仿宋_GB2312" w:eastAsia="仿宋_GB2312"/>
          <w:b/>
          <w:bCs/>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．供应商必须具有独立承担民事责任的能力,具有三证合一的营业执照，</w:t>
      </w:r>
      <w:r>
        <w:rPr>
          <w:rFonts w:hint="eastAsia" w:ascii="仿宋_GB2312" w:eastAsia="仿宋_GB2312" w:cs="仿宋_GB2312"/>
          <w:b/>
          <w:bCs/>
          <w:color w:val="000000"/>
          <w:sz w:val="28"/>
          <w:szCs w:val="28"/>
          <w:lang w:val="en-US" w:eastAsia="zh-CN"/>
        </w:rPr>
        <w:t>具有中华人民共和国特种设备生产许可证（压力管道），GC2级及以上安装资质</w:t>
      </w:r>
      <w:r>
        <w:rPr>
          <w:rFonts w:hint="eastAsia" w:ascii="仿宋_GB2312" w:eastAsia="仿宋_GB2312" w:cs="仿宋_GB2312"/>
          <w:b/>
          <w:bCs/>
          <w:color w:val="000000"/>
          <w:sz w:val="28"/>
          <w:szCs w:val="28"/>
        </w:rPr>
        <w:t>。</w:t>
      </w:r>
    </w:p>
    <w:p>
      <w:pPr>
        <w:snapToGrid w:val="0"/>
        <w:spacing w:line="460" w:lineRule="exact"/>
        <w:ind w:firstLine="560" w:firstLineChars="200"/>
        <w:rPr>
          <w:rFonts w:hint="eastAsia" w:ascii="仿宋_GB2312" w:eastAsia="仿宋_GB2312" w:cs="仿宋_GB2312"/>
          <w:color w:val="000000"/>
          <w:sz w:val="28"/>
          <w:szCs w:val="28"/>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．供应商未处于投标资格被取消或者财产被接管、冻结和破产状态；没有因骗取中标或严重违约以及发生重大质量、安全生产事故等问题被有关部门暂停投标资格并在暂停期内的。</w:t>
      </w:r>
    </w:p>
    <w:p>
      <w:pPr>
        <w:snapToGrid w:val="0"/>
        <w:spacing w:line="4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w:t>
      </w:r>
      <w:r>
        <w:rPr>
          <w:rFonts w:ascii="仿宋_GB2312" w:eastAsia="仿宋_GB2312" w:cs="仿宋_GB2312"/>
          <w:color w:val="000000"/>
          <w:sz w:val="28"/>
          <w:szCs w:val="28"/>
        </w:rPr>
        <w:t>.</w:t>
      </w:r>
      <w:r>
        <w:rPr>
          <w:rFonts w:hint="eastAsia" w:ascii="仿宋_GB2312" w:eastAsia="仿宋_GB2312" w:cs="仿宋_GB2312"/>
          <w:color w:val="000000"/>
          <w:sz w:val="28"/>
          <w:szCs w:val="28"/>
        </w:rPr>
        <w:t>未被“信用中国”网站（www.creditchina.gov.cn）列入失信被执行人、重大税收违法案件当事人名单、政府采购严重失信行为记录名单。</w:t>
      </w:r>
    </w:p>
    <w:p>
      <w:pPr>
        <w:snapToGrid w:val="0"/>
        <w:spacing w:line="460" w:lineRule="exact"/>
        <w:ind w:firstLine="560" w:firstLineChars="200"/>
        <w:rPr>
          <w:rFonts w:hint="eastAsia" w:eastAsia="仿宋_GB2312"/>
          <w:color w:val="000000"/>
          <w:sz w:val="24"/>
        </w:rPr>
      </w:pPr>
      <w:r>
        <w:rPr>
          <w:rFonts w:hint="eastAsia" w:ascii="仿宋_GB2312" w:eastAsia="仿宋_GB2312" w:cs="仿宋_GB2312"/>
          <w:color w:val="000000"/>
          <w:sz w:val="28"/>
          <w:szCs w:val="28"/>
          <w:lang w:val="en-US" w:eastAsia="zh-CN"/>
        </w:rPr>
        <w:t>5.</w:t>
      </w:r>
      <w:r>
        <w:rPr>
          <w:rFonts w:hint="eastAsia" w:ascii="仿宋_GB2312" w:eastAsia="仿宋_GB2312" w:cs="仿宋_GB2312"/>
          <w:color w:val="000000"/>
          <w:sz w:val="28"/>
          <w:szCs w:val="28"/>
        </w:rPr>
        <w:t>本项目不接受联合体投标。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4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报名及竞争性谈判文件</w:t>
      </w:r>
      <w:r>
        <w:rPr>
          <w:rFonts w:hint="eastAsia" w:ascii="仿宋_GB2312" w:eastAsia="仿宋_GB2312"/>
          <w:sz w:val="28"/>
          <w:szCs w:val="28"/>
        </w:rPr>
        <w:t>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rPr>
        <w:t>2</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8</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15</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8</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17</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8"/>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 xml:space="preserve">1109 </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8</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19</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05</w:t>
      </w:r>
      <w:r>
        <w:rPr>
          <w:rFonts w:hint="eastAsia" w:ascii="仿宋_GB2312" w:hAnsi="仿宋_GB2312" w:eastAsia="仿宋_GB2312" w:cs="仿宋_GB2312"/>
          <w:b/>
          <w:bCs/>
          <w:color w:val="000000"/>
          <w:sz w:val="28"/>
          <w:szCs w:val="28"/>
          <w:u w:val="single"/>
        </w:rPr>
        <w:t>分前；</w:t>
      </w:r>
    </w:p>
    <w:p>
      <w:pPr>
        <w:spacing w:line="440" w:lineRule="exact"/>
        <w:ind w:firstLine="649" w:firstLineChars="232"/>
        <w:jc w:val="left"/>
        <w:rPr>
          <w:rFonts w:hint="eastAsia"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8</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19</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05</w:t>
      </w:r>
      <w:r>
        <w:rPr>
          <w:rFonts w:hint="eastAsia" w:ascii="仿宋_GB2312" w:hAnsi="仿宋_GB2312" w:eastAsia="仿宋_GB2312" w:cs="仿宋_GB2312"/>
          <w:b/>
          <w:bCs/>
          <w:color w:val="000000"/>
          <w:sz w:val="28"/>
          <w:szCs w:val="28"/>
          <w:u w:val="single"/>
        </w:rPr>
        <w:t>分前；</w:t>
      </w:r>
    </w:p>
    <w:p>
      <w:pPr>
        <w:spacing w:line="440" w:lineRule="exact"/>
        <w:ind w:firstLine="649" w:firstLineChars="232"/>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、招标（采购）资料费 200 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lang w:val="en-US" w:eastAsia="zh-CN"/>
        </w:rPr>
        <w:t>2000</w:t>
      </w:r>
      <w:r>
        <w:rPr>
          <w:rFonts w:hint="eastAsia" w:ascii="仿宋_GB2312" w:hAnsi="仿宋_GB2312" w:eastAsia="仿宋_GB2312" w:cs="仿宋_GB2312"/>
          <w:b/>
          <w:color w:val="000000"/>
          <w:sz w:val="28"/>
          <w:szCs w:val="28"/>
          <w:u w:val="single"/>
        </w:rPr>
        <w:t>元</w:t>
      </w:r>
      <w:r>
        <w:rPr>
          <w:rFonts w:hint="eastAsia" w:ascii="仿宋_GB2312" w:hAnsi="仿宋_GB2312" w:eastAsia="仿宋_GB2312" w:cs="仿宋_GB2312"/>
          <w:color w:val="000000"/>
          <w:sz w:val="28"/>
          <w:szCs w:val="28"/>
        </w:rPr>
        <w:t>，投标保证金必须使用银行本票、汇票形式，投标人未能按上述要求提交投标保证金的，招标人将视其为不响应投标而予以拒绝。</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2.投标保证金核验方式为：投标文件递交的同时，投标单位将本票、汇票直接提交给投标文件接收人员。未按上述要求提交保证金交款凭据的，投标文件将不予接收。</w:t>
      </w:r>
    </w:p>
    <w:p>
      <w:pPr>
        <w:spacing w:line="50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10</w:t>
      </w:r>
      <w:r>
        <w:rPr>
          <w:rFonts w:ascii="仿宋_GB2312" w:hAnsi="仿宋_GB2312" w:eastAsia="仿宋_GB2312" w:cs="仿宋_GB2312"/>
          <w:color w:val="000000"/>
          <w:sz w:val="28"/>
          <w:szCs w:val="28"/>
        </w:rPr>
        <w:t>00</w:t>
      </w:r>
      <w:r>
        <w:rPr>
          <w:rFonts w:hint="eastAsia" w:ascii="仿宋_GB2312" w:hAnsi="仿宋_GB2312" w:eastAsia="仿宋_GB2312" w:cs="仿宋_GB2312"/>
          <w:color w:val="000000"/>
          <w:sz w:val="28"/>
          <w:szCs w:val="28"/>
          <w:lang w:val="en-US" w:eastAsia="zh-CN"/>
        </w:rPr>
        <w:t>0</w:t>
      </w:r>
      <w:r>
        <w:rPr>
          <w:rFonts w:hint="eastAsia" w:ascii="仿宋_GB2312" w:hAnsi="仿宋_GB2312" w:eastAsia="仿宋_GB2312" w:cs="仿宋_GB2312"/>
          <w:color w:val="000000"/>
          <w:sz w:val="28"/>
          <w:szCs w:val="28"/>
        </w:rPr>
        <w:t>元。</w:t>
      </w:r>
    </w:p>
    <w:p>
      <w:pPr>
        <w:spacing w:line="50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00" w:lineRule="exact"/>
        <w:ind w:firstLine="560" w:firstLineChars="200"/>
        <w:rPr>
          <w:rFonts w:hint="eastAsia" w:ascii="仿宋_GB2312" w:hAnsi="仿宋_GB2312" w:eastAsia="仿宋_GB2312" w:cs="仿宋_GB2312"/>
          <w:color w:val="000000"/>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履约保证金的退还：项目完成后全额退还（无息）。</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w:t>
      </w:r>
      <w:r>
        <w:rPr>
          <w:rFonts w:hint="eastAsia" w:ascii="仿宋_GB2312" w:hAnsi="仿宋_GB2312" w:eastAsia="仿宋_GB2312" w:cs="仿宋_GB2312"/>
          <w:color w:val="000000"/>
          <w:sz w:val="28"/>
          <w:szCs w:val="28"/>
          <w:lang w:eastAsia="zh-CN"/>
        </w:rPr>
        <w:t>谈判响应</w:t>
      </w:r>
      <w:r>
        <w:rPr>
          <w:rFonts w:hint="eastAsia" w:ascii="仿宋_GB2312" w:hAnsi="仿宋_GB2312" w:eastAsia="仿宋_GB2312" w:cs="仿宋_GB2312"/>
          <w:color w:val="000000"/>
          <w:sz w:val="28"/>
          <w:szCs w:val="28"/>
        </w:rPr>
        <w:t>文件，而又决定不参加本次</w:t>
      </w:r>
      <w:r>
        <w:rPr>
          <w:rFonts w:hint="eastAsia" w:ascii="仿宋_GB2312" w:hAnsi="仿宋_GB2312" w:eastAsia="仿宋_GB2312" w:cs="仿宋_GB2312"/>
          <w:color w:val="000000"/>
          <w:sz w:val="28"/>
          <w:szCs w:val="28"/>
          <w:lang w:eastAsia="zh-CN"/>
        </w:rPr>
        <w:t>谈判</w:t>
      </w:r>
      <w:r>
        <w:rPr>
          <w:rFonts w:hint="eastAsia" w:ascii="仿宋_GB2312" w:hAnsi="仿宋_GB2312" w:eastAsia="仿宋_GB2312" w:cs="仿宋_GB2312"/>
          <w:color w:val="000000"/>
          <w:sz w:val="28"/>
          <w:szCs w:val="28"/>
        </w:rPr>
        <w:t>的投标人，请在</w:t>
      </w:r>
      <w:r>
        <w:rPr>
          <w:rFonts w:hint="eastAsia" w:ascii="仿宋_GB2312" w:hAnsi="仿宋_GB2312" w:eastAsia="仿宋_GB2312" w:cs="仿宋_GB2312"/>
          <w:color w:val="000000"/>
          <w:sz w:val="28"/>
          <w:szCs w:val="28"/>
          <w:lang w:eastAsia="zh-CN"/>
        </w:rPr>
        <w:t>谈判响应</w:t>
      </w:r>
      <w:r>
        <w:rPr>
          <w:rFonts w:hint="eastAsia" w:ascii="仿宋_GB2312" w:hAnsi="仿宋_GB2312" w:eastAsia="仿宋_GB2312" w:cs="仿宋_GB2312"/>
          <w:color w:val="000000"/>
          <w:sz w:val="28"/>
          <w:szCs w:val="28"/>
        </w:rPr>
        <w:t>文件递交截止时间前1天书面或电话告知我们（联系人：杨老师，办公电话：0515—68661002），对于无故临时放弃的投标人，我校将根据情况将投标单位纳入招投标黑名单。对您的支持与配合，谨此致谢。</w:t>
      </w:r>
    </w:p>
    <w:p>
      <w:pPr>
        <w:spacing w:line="500" w:lineRule="exact"/>
        <w:ind w:firstLine="562" w:firstLineChars="200"/>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六、疫情防控要求</w:t>
      </w:r>
    </w:p>
    <w:p>
      <w:pPr>
        <w:spacing w:line="50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因疫情防控需要，为确保校园安全投标人进入江苏省盐城技师学院文港中路校区时应服从下列疫情防控措施：</w:t>
      </w:r>
    </w:p>
    <w:p>
      <w:pPr>
        <w:spacing w:line="50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（1）投标人从学校西大门进出；投标人车辆一律不得进入校园。</w:t>
      </w:r>
    </w:p>
    <w:p>
      <w:pPr>
        <w:spacing w:line="50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授权代表限1人进入校园，进入校园前须在西大门外相关工作人员处进行信息实名登记并接受体温测量（体温异常者拒绝进入校园），所有进入校园的人员除了必须戴口罩、测体温、查验健康码、行程码，扫场所码等，来校前14天内有疫情中高风险疫区（以开标前一日权威发布的疫情风险等级区域划分为依据）旅居史的人员，按照疾控部门要求执行。请投标人注意投标截止时间，规范佩戴口罩、做好手部消毒及投标文件等消毒防护工作，提早准备好疫情防控登记的各项证明。如有疫情防控新要求，按最新要求执行。</w:t>
      </w:r>
    </w:p>
    <w:p>
      <w:pPr>
        <w:spacing w:line="500" w:lineRule="exact"/>
        <w:ind w:firstLine="560" w:firstLineChars="2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（3）投标人进入校园后应在指定地点参与投标活动，不到非相关场所活动；投标工作结束后应立即离开校园，不逗留。</w:t>
      </w:r>
    </w:p>
    <w:p>
      <w:pPr>
        <w:shd w:val="clear" w:color="auto" w:fill="FFFFFF"/>
        <w:spacing w:line="500" w:lineRule="exact"/>
        <w:ind w:firstLine="562" w:firstLineChars="200"/>
        <w:rPr>
          <w:lang w:val="zh-TW"/>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bookmarkStart w:id="2" w:name="_GoBack"/>
      <w:bookmarkEnd w:id="2"/>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jZTJmNzcxZDYzMmViNWNhMGFkMGVlMWE2NzRlNzIifQ=="/>
  </w:docVars>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21F6B37"/>
    <w:rsid w:val="035418D9"/>
    <w:rsid w:val="03784BFE"/>
    <w:rsid w:val="0391134E"/>
    <w:rsid w:val="03DC0204"/>
    <w:rsid w:val="046443D0"/>
    <w:rsid w:val="04C11FC6"/>
    <w:rsid w:val="04CC52EE"/>
    <w:rsid w:val="04CD3D0D"/>
    <w:rsid w:val="051004D3"/>
    <w:rsid w:val="05107D32"/>
    <w:rsid w:val="05272FAA"/>
    <w:rsid w:val="054C46B0"/>
    <w:rsid w:val="05A73324"/>
    <w:rsid w:val="05B15802"/>
    <w:rsid w:val="05C66E0A"/>
    <w:rsid w:val="065461C1"/>
    <w:rsid w:val="066151A4"/>
    <w:rsid w:val="06633BF8"/>
    <w:rsid w:val="067009E3"/>
    <w:rsid w:val="06B24841"/>
    <w:rsid w:val="06B306D8"/>
    <w:rsid w:val="06BB5646"/>
    <w:rsid w:val="070058ED"/>
    <w:rsid w:val="070C0B87"/>
    <w:rsid w:val="072842ED"/>
    <w:rsid w:val="074F6420"/>
    <w:rsid w:val="076D3A7D"/>
    <w:rsid w:val="076E1C88"/>
    <w:rsid w:val="07976D19"/>
    <w:rsid w:val="07B10DAC"/>
    <w:rsid w:val="07BD1C7C"/>
    <w:rsid w:val="07DA3CFE"/>
    <w:rsid w:val="07E52222"/>
    <w:rsid w:val="08037EE2"/>
    <w:rsid w:val="08507F71"/>
    <w:rsid w:val="08517A6C"/>
    <w:rsid w:val="08554DC2"/>
    <w:rsid w:val="08A31E20"/>
    <w:rsid w:val="08BF7CF7"/>
    <w:rsid w:val="091A0CCA"/>
    <w:rsid w:val="09D3578B"/>
    <w:rsid w:val="09EC2687"/>
    <w:rsid w:val="0A2658EF"/>
    <w:rsid w:val="0A4179AC"/>
    <w:rsid w:val="0A9534B3"/>
    <w:rsid w:val="0AD50C2F"/>
    <w:rsid w:val="0AEB2D57"/>
    <w:rsid w:val="0AEC0EA0"/>
    <w:rsid w:val="0AFC45D4"/>
    <w:rsid w:val="0B1721B7"/>
    <w:rsid w:val="0B4523BA"/>
    <w:rsid w:val="0B62067E"/>
    <w:rsid w:val="0B626DEC"/>
    <w:rsid w:val="0B650416"/>
    <w:rsid w:val="0B9F6033"/>
    <w:rsid w:val="0BE87DE6"/>
    <w:rsid w:val="0BEE57EC"/>
    <w:rsid w:val="0BF66664"/>
    <w:rsid w:val="0C206B85"/>
    <w:rsid w:val="0C4D098C"/>
    <w:rsid w:val="0C4D4DBE"/>
    <w:rsid w:val="0C525545"/>
    <w:rsid w:val="0CAA0EEE"/>
    <w:rsid w:val="0CBD61ED"/>
    <w:rsid w:val="0CF92E1A"/>
    <w:rsid w:val="0D40776B"/>
    <w:rsid w:val="0D451709"/>
    <w:rsid w:val="0D8536A8"/>
    <w:rsid w:val="0DA5454E"/>
    <w:rsid w:val="0DC32138"/>
    <w:rsid w:val="0DD36B68"/>
    <w:rsid w:val="0E0971E5"/>
    <w:rsid w:val="0E1E525F"/>
    <w:rsid w:val="0E256362"/>
    <w:rsid w:val="0E2B5F03"/>
    <w:rsid w:val="0E6C4B17"/>
    <w:rsid w:val="0EB6316D"/>
    <w:rsid w:val="0EED3DB3"/>
    <w:rsid w:val="0F025FBB"/>
    <w:rsid w:val="0F216F3E"/>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0FF6F1C"/>
    <w:rsid w:val="110F5FEB"/>
    <w:rsid w:val="11442DBE"/>
    <w:rsid w:val="119F60B5"/>
    <w:rsid w:val="120D5A10"/>
    <w:rsid w:val="121D42C8"/>
    <w:rsid w:val="12587BBB"/>
    <w:rsid w:val="125D3852"/>
    <w:rsid w:val="126B6779"/>
    <w:rsid w:val="12726C10"/>
    <w:rsid w:val="128C3AF6"/>
    <w:rsid w:val="12C23695"/>
    <w:rsid w:val="131953C2"/>
    <w:rsid w:val="133970A9"/>
    <w:rsid w:val="13626C51"/>
    <w:rsid w:val="1387289B"/>
    <w:rsid w:val="138A3CBD"/>
    <w:rsid w:val="13BF20EE"/>
    <w:rsid w:val="13EE1CA6"/>
    <w:rsid w:val="141A7C53"/>
    <w:rsid w:val="141E3E24"/>
    <w:rsid w:val="14A1058A"/>
    <w:rsid w:val="14EF4C8B"/>
    <w:rsid w:val="15231DBD"/>
    <w:rsid w:val="155F42E2"/>
    <w:rsid w:val="158925BF"/>
    <w:rsid w:val="15D211C0"/>
    <w:rsid w:val="15DF3C87"/>
    <w:rsid w:val="15DF6418"/>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9555F"/>
    <w:rsid w:val="19674C8C"/>
    <w:rsid w:val="19D42B02"/>
    <w:rsid w:val="1A0033A8"/>
    <w:rsid w:val="1A2E19C8"/>
    <w:rsid w:val="1A5D44F7"/>
    <w:rsid w:val="1A697E5F"/>
    <w:rsid w:val="1A7C6625"/>
    <w:rsid w:val="1AA81E83"/>
    <w:rsid w:val="1ACF0032"/>
    <w:rsid w:val="1ADA2B3C"/>
    <w:rsid w:val="1AE7007E"/>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DA3C7F"/>
    <w:rsid w:val="1CEF28AC"/>
    <w:rsid w:val="1D027E40"/>
    <w:rsid w:val="1D5F7B0B"/>
    <w:rsid w:val="1D681CE1"/>
    <w:rsid w:val="1DD46062"/>
    <w:rsid w:val="1E1823DE"/>
    <w:rsid w:val="1E285373"/>
    <w:rsid w:val="1E4C0DD8"/>
    <w:rsid w:val="1E9F10E2"/>
    <w:rsid w:val="1EB96B5B"/>
    <w:rsid w:val="1F3417C9"/>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F3410D"/>
    <w:rsid w:val="21F46F58"/>
    <w:rsid w:val="22291D25"/>
    <w:rsid w:val="22DB3FED"/>
    <w:rsid w:val="235F4CA5"/>
    <w:rsid w:val="2420793E"/>
    <w:rsid w:val="242F2957"/>
    <w:rsid w:val="24320E9D"/>
    <w:rsid w:val="24754813"/>
    <w:rsid w:val="24776CCE"/>
    <w:rsid w:val="2480139C"/>
    <w:rsid w:val="24AB21CC"/>
    <w:rsid w:val="24B37275"/>
    <w:rsid w:val="24C34269"/>
    <w:rsid w:val="24CA7BB3"/>
    <w:rsid w:val="24D36639"/>
    <w:rsid w:val="24E15C47"/>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6E1849"/>
    <w:rsid w:val="29720D27"/>
    <w:rsid w:val="29E76B67"/>
    <w:rsid w:val="2A4C266E"/>
    <w:rsid w:val="2A625E17"/>
    <w:rsid w:val="2A756C29"/>
    <w:rsid w:val="2AA75F42"/>
    <w:rsid w:val="2AD11208"/>
    <w:rsid w:val="2B142AF9"/>
    <w:rsid w:val="2B284638"/>
    <w:rsid w:val="2B731468"/>
    <w:rsid w:val="2B782D10"/>
    <w:rsid w:val="2BA12CCB"/>
    <w:rsid w:val="2BAA2A9A"/>
    <w:rsid w:val="2BC36FF1"/>
    <w:rsid w:val="2BF253AE"/>
    <w:rsid w:val="2C225919"/>
    <w:rsid w:val="2C393D7D"/>
    <w:rsid w:val="2C430B45"/>
    <w:rsid w:val="2C817AB3"/>
    <w:rsid w:val="2C8B2168"/>
    <w:rsid w:val="2CB95CF8"/>
    <w:rsid w:val="2D327DD8"/>
    <w:rsid w:val="2D3A397F"/>
    <w:rsid w:val="2D5E4723"/>
    <w:rsid w:val="2D9906D0"/>
    <w:rsid w:val="2E1D76FC"/>
    <w:rsid w:val="2E397856"/>
    <w:rsid w:val="2E970D30"/>
    <w:rsid w:val="2F0A4CB7"/>
    <w:rsid w:val="2F473DCF"/>
    <w:rsid w:val="2F5C448C"/>
    <w:rsid w:val="2F8F35AF"/>
    <w:rsid w:val="2FC02E6F"/>
    <w:rsid w:val="2FC87B25"/>
    <w:rsid w:val="300632AC"/>
    <w:rsid w:val="306E6642"/>
    <w:rsid w:val="30AA09F1"/>
    <w:rsid w:val="30B17A2A"/>
    <w:rsid w:val="3152597F"/>
    <w:rsid w:val="31603293"/>
    <w:rsid w:val="316858B7"/>
    <w:rsid w:val="31721C46"/>
    <w:rsid w:val="31950CDB"/>
    <w:rsid w:val="31D6351B"/>
    <w:rsid w:val="31EC1EAB"/>
    <w:rsid w:val="31F604A7"/>
    <w:rsid w:val="321F65B4"/>
    <w:rsid w:val="325966DD"/>
    <w:rsid w:val="32811102"/>
    <w:rsid w:val="32AC4A97"/>
    <w:rsid w:val="32AE7E64"/>
    <w:rsid w:val="32D30C1D"/>
    <w:rsid w:val="33297F74"/>
    <w:rsid w:val="33405D76"/>
    <w:rsid w:val="334912C7"/>
    <w:rsid w:val="33497F9F"/>
    <w:rsid w:val="339840C3"/>
    <w:rsid w:val="339F3E85"/>
    <w:rsid w:val="33AE7E7D"/>
    <w:rsid w:val="33B14D02"/>
    <w:rsid w:val="33F76CC3"/>
    <w:rsid w:val="340D52DD"/>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70C49F9"/>
    <w:rsid w:val="37314630"/>
    <w:rsid w:val="3739690C"/>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C5373E0"/>
    <w:rsid w:val="3C7E0DE7"/>
    <w:rsid w:val="3CAF118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B31F65"/>
    <w:rsid w:val="3EBB47C6"/>
    <w:rsid w:val="3EF01CBA"/>
    <w:rsid w:val="3F1818E5"/>
    <w:rsid w:val="3F3719D8"/>
    <w:rsid w:val="3F3F7EAB"/>
    <w:rsid w:val="3F5F67F7"/>
    <w:rsid w:val="3F787D93"/>
    <w:rsid w:val="3F8B1D10"/>
    <w:rsid w:val="40F90C7F"/>
    <w:rsid w:val="411357D5"/>
    <w:rsid w:val="42536595"/>
    <w:rsid w:val="42A2251F"/>
    <w:rsid w:val="42AA1947"/>
    <w:rsid w:val="42B82C2B"/>
    <w:rsid w:val="42C56DBF"/>
    <w:rsid w:val="42D252ED"/>
    <w:rsid w:val="42DC3ED2"/>
    <w:rsid w:val="42EF2015"/>
    <w:rsid w:val="42FE74B6"/>
    <w:rsid w:val="43181805"/>
    <w:rsid w:val="43621F43"/>
    <w:rsid w:val="437652BA"/>
    <w:rsid w:val="439A06F0"/>
    <w:rsid w:val="43BE48F6"/>
    <w:rsid w:val="43BF3924"/>
    <w:rsid w:val="43DB1559"/>
    <w:rsid w:val="43E96405"/>
    <w:rsid w:val="440E72C3"/>
    <w:rsid w:val="443B2D47"/>
    <w:rsid w:val="445F5174"/>
    <w:rsid w:val="447F785B"/>
    <w:rsid w:val="4484168F"/>
    <w:rsid w:val="44A658FB"/>
    <w:rsid w:val="44B03BC9"/>
    <w:rsid w:val="44EE3341"/>
    <w:rsid w:val="44FB5CD6"/>
    <w:rsid w:val="4579665C"/>
    <w:rsid w:val="45BF6E87"/>
    <w:rsid w:val="45C07584"/>
    <w:rsid w:val="45C83625"/>
    <w:rsid w:val="45F85DE8"/>
    <w:rsid w:val="45FF303A"/>
    <w:rsid w:val="464D6DDD"/>
    <w:rsid w:val="4664559D"/>
    <w:rsid w:val="468D0324"/>
    <w:rsid w:val="46F71A9A"/>
    <w:rsid w:val="473A4A33"/>
    <w:rsid w:val="474D0A7A"/>
    <w:rsid w:val="475E2D19"/>
    <w:rsid w:val="47846BB1"/>
    <w:rsid w:val="47AC3932"/>
    <w:rsid w:val="47BD382B"/>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7F40CE"/>
    <w:rsid w:val="4AEC3932"/>
    <w:rsid w:val="4B183B51"/>
    <w:rsid w:val="4B276F49"/>
    <w:rsid w:val="4B682294"/>
    <w:rsid w:val="4B7E02F8"/>
    <w:rsid w:val="4B8A7D02"/>
    <w:rsid w:val="4BA53213"/>
    <w:rsid w:val="4BFD7E37"/>
    <w:rsid w:val="4C66481B"/>
    <w:rsid w:val="4C702BBA"/>
    <w:rsid w:val="4C805C6D"/>
    <w:rsid w:val="4C816154"/>
    <w:rsid w:val="4CD2760A"/>
    <w:rsid w:val="4CE85361"/>
    <w:rsid w:val="4CFB3FC6"/>
    <w:rsid w:val="4D4F4AA1"/>
    <w:rsid w:val="4D752DFF"/>
    <w:rsid w:val="4DE62960"/>
    <w:rsid w:val="4E100D3C"/>
    <w:rsid w:val="4E1717CD"/>
    <w:rsid w:val="4E555139"/>
    <w:rsid w:val="4E6526E6"/>
    <w:rsid w:val="4E6D5F24"/>
    <w:rsid w:val="4E7E4CF2"/>
    <w:rsid w:val="4E93279E"/>
    <w:rsid w:val="4EAA7FE0"/>
    <w:rsid w:val="4EED3E2F"/>
    <w:rsid w:val="4F2E6D0D"/>
    <w:rsid w:val="4F3C0164"/>
    <w:rsid w:val="4F74653C"/>
    <w:rsid w:val="4F9C0D17"/>
    <w:rsid w:val="4FC4470D"/>
    <w:rsid w:val="4FCC18E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961063"/>
    <w:rsid w:val="51B40016"/>
    <w:rsid w:val="51C27A83"/>
    <w:rsid w:val="51C71E63"/>
    <w:rsid w:val="521C44D2"/>
    <w:rsid w:val="52AC24D9"/>
    <w:rsid w:val="538A5890"/>
    <w:rsid w:val="53B27B60"/>
    <w:rsid w:val="53B75D03"/>
    <w:rsid w:val="53B77680"/>
    <w:rsid w:val="53E36CF0"/>
    <w:rsid w:val="542506A6"/>
    <w:rsid w:val="54797ED7"/>
    <w:rsid w:val="549417C5"/>
    <w:rsid w:val="54A95133"/>
    <w:rsid w:val="54D00DD3"/>
    <w:rsid w:val="551132B2"/>
    <w:rsid w:val="5549548F"/>
    <w:rsid w:val="557C0A69"/>
    <w:rsid w:val="55887E86"/>
    <w:rsid w:val="55891293"/>
    <w:rsid w:val="558D30F0"/>
    <w:rsid w:val="55D022A9"/>
    <w:rsid w:val="55EC46F1"/>
    <w:rsid w:val="566768F0"/>
    <w:rsid w:val="5676087B"/>
    <w:rsid w:val="56C10498"/>
    <w:rsid w:val="56D25390"/>
    <w:rsid w:val="56D652C3"/>
    <w:rsid w:val="56E91712"/>
    <w:rsid w:val="57160486"/>
    <w:rsid w:val="57355E7D"/>
    <w:rsid w:val="573D0770"/>
    <w:rsid w:val="5756176F"/>
    <w:rsid w:val="57601DAE"/>
    <w:rsid w:val="576905EF"/>
    <w:rsid w:val="579D0C33"/>
    <w:rsid w:val="57FB1974"/>
    <w:rsid w:val="57FD6362"/>
    <w:rsid w:val="581574A4"/>
    <w:rsid w:val="581B4472"/>
    <w:rsid w:val="583C2FDE"/>
    <w:rsid w:val="58E72BF9"/>
    <w:rsid w:val="594F6C2F"/>
    <w:rsid w:val="595841C7"/>
    <w:rsid w:val="595A4C77"/>
    <w:rsid w:val="596A66E7"/>
    <w:rsid w:val="59A01DC1"/>
    <w:rsid w:val="59B02EF9"/>
    <w:rsid w:val="59D46C1D"/>
    <w:rsid w:val="59D91CF2"/>
    <w:rsid w:val="59E14449"/>
    <w:rsid w:val="5A0C0BD4"/>
    <w:rsid w:val="5A5B4BA8"/>
    <w:rsid w:val="5A5F7BFB"/>
    <w:rsid w:val="5A904C66"/>
    <w:rsid w:val="5A920207"/>
    <w:rsid w:val="5ACE7D24"/>
    <w:rsid w:val="5B153346"/>
    <w:rsid w:val="5B367204"/>
    <w:rsid w:val="5B4935A4"/>
    <w:rsid w:val="5B4C790C"/>
    <w:rsid w:val="5BAB7008"/>
    <w:rsid w:val="5BB4099C"/>
    <w:rsid w:val="5BD1500D"/>
    <w:rsid w:val="5BDB6F0F"/>
    <w:rsid w:val="5C114079"/>
    <w:rsid w:val="5C6B2001"/>
    <w:rsid w:val="5CB155B2"/>
    <w:rsid w:val="5CD37D3F"/>
    <w:rsid w:val="5CF86948"/>
    <w:rsid w:val="5DAC6E2E"/>
    <w:rsid w:val="5DC37F92"/>
    <w:rsid w:val="5DD97CFF"/>
    <w:rsid w:val="5E3B214C"/>
    <w:rsid w:val="5E5516EB"/>
    <w:rsid w:val="5E7E1761"/>
    <w:rsid w:val="5E826299"/>
    <w:rsid w:val="5EB24D06"/>
    <w:rsid w:val="5EBE5924"/>
    <w:rsid w:val="5EC00FDE"/>
    <w:rsid w:val="5EEC725C"/>
    <w:rsid w:val="5F0D13E6"/>
    <w:rsid w:val="5F5F5A27"/>
    <w:rsid w:val="5F9F4CB2"/>
    <w:rsid w:val="5FBC0DED"/>
    <w:rsid w:val="5FDC2801"/>
    <w:rsid w:val="6061238B"/>
    <w:rsid w:val="6062651D"/>
    <w:rsid w:val="606E146E"/>
    <w:rsid w:val="608E76D1"/>
    <w:rsid w:val="60DA374D"/>
    <w:rsid w:val="60F56641"/>
    <w:rsid w:val="610A1218"/>
    <w:rsid w:val="6126107F"/>
    <w:rsid w:val="61876294"/>
    <w:rsid w:val="61CE2ABF"/>
    <w:rsid w:val="624F051E"/>
    <w:rsid w:val="625A0DB8"/>
    <w:rsid w:val="627F348D"/>
    <w:rsid w:val="62C70D09"/>
    <w:rsid w:val="62D500B6"/>
    <w:rsid w:val="62D82626"/>
    <w:rsid w:val="631C2993"/>
    <w:rsid w:val="631E1940"/>
    <w:rsid w:val="63413B72"/>
    <w:rsid w:val="63562062"/>
    <w:rsid w:val="6365091F"/>
    <w:rsid w:val="63D13E08"/>
    <w:rsid w:val="63ED762C"/>
    <w:rsid w:val="64140E68"/>
    <w:rsid w:val="643B5DC5"/>
    <w:rsid w:val="64464B7A"/>
    <w:rsid w:val="644A418E"/>
    <w:rsid w:val="64544120"/>
    <w:rsid w:val="64571B9A"/>
    <w:rsid w:val="646F7733"/>
    <w:rsid w:val="64947EEE"/>
    <w:rsid w:val="64A5749D"/>
    <w:rsid w:val="64A8075D"/>
    <w:rsid w:val="64AC71C7"/>
    <w:rsid w:val="64E92558"/>
    <w:rsid w:val="65307F28"/>
    <w:rsid w:val="654E6347"/>
    <w:rsid w:val="65655109"/>
    <w:rsid w:val="65683A22"/>
    <w:rsid w:val="657813C0"/>
    <w:rsid w:val="657E107F"/>
    <w:rsid w:val="659C5A52"/>
    <w:rsid w:val="65BC07A1"/>
    <w:rsid w:val="65C0786F"/>
    <w:rsid w:val="65D95392"/>
    <w:rsid w:val="65DD2B7B"/>
    <w:rsid w:val="65F61953"/>
    <w:rsid w:val="66044B74"/>
    <w:rsid w:val="660A1BFF"/>
    <w:rsid w:val="660D6065"/>
    <w:rsid w:val="66D01FBB"/>
    <w:rsid w:val="66EE21B8"/>
    <w:rsid w:val="670D7877"/>
    <w:rsid w:val="67580329"/>
    <w:rsid w:val="676B51FA"/>
    <w:rsid w:val="67804428"/>
    <w:rsid w:val="67831A61"/>
    <w:rsid w:val="67E41ECA"/>
    <w:rsid w:val="67FE064D"/>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9D05B72"/>
    <w:rsid w:val="6A2121F5"/>
    <w:rsid w:val="6A345A94"/>
    <w:rsid w:val="6A735F5E"/>
    <w:rsid w:val="6A765692"/>
    <w:rsid w:val="6A77390C"/>
    <w:rsid w:val="6A8029CC"/>
    <w:rsid w:val="6AA257A1"/>
    <w:rsid w:val="6AF3713C"/>
    <w:rsid w:val="6B376C34"/>
    <w:rsid w:val="6B5914FD"/>
    <w:rsid w:val="6B7A0BFE"/>
    <w:rsid w:val="6BA87F93"/>
    <w:rsid w:val="6BD84A7F"/>
    <w:rsid w:val="6BDB6CC5"/>
    <w:rsid w:val="6C317CED"/>
    <w:rsid w:val="6C3549A4"/>
    <w:rsid w:val="6CC02D04"/>
    <w:rsid w:val="6CC46F01"/>
    <w:rsid w:val="6CF07891"/>
    <w:rsid w:val="6CF740AF"/>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C07A69"/>
    <w:rsid w:val="6FC17707"/>
    <w:rsid w:val="702750A0"/>
    <w:rsid w:val="703F2C49"/>
    <w:rsid w:val="704D133D"/>
    <w:rsid w:val="706816A1"/>
    <w:rsid w:val="70C16F7A"/>
    <w:rsid w:val="710F6F32"/>
    <w:rsid w:val="71512C49"/>
    <w:rsid w:val="71661C44"/>
    <w:rsid w:val="71681909"/>
    <w:rsid w:val="71733A23"/>
    <w:rsid w:val="717E223A"/>
    <w:rsid w:val="71B1120F"/>
    <w:rsid w:val="71B175F3"/>
    <w:rsid w:val="71E2287C"/>
    <w:rsid w:val="71EE3A4C"/>
    <w:rsid w:val="71F54C9C"/>
    <w:rsid w:val="72336D94"/>
    <w:rsid w:val="72561178"/>
    <w:rsid w:val="7265754A"/>
    <w:rsid w:val="726C646F"/>
    <w:rsid w:val="728A63D1"/>
    <w:rsid w:val="729131B3"/>
    <w:rsid w:val="72A2358B"/>
    <w:rsid w:val="72D67B06"/>
    <w:rsid w:val="72FA624C"/>
    <w:rsid w:val="72FF6318"/>
    <w:rsid w:val="733259D3"/>
    <w:rsid w:val="736C170B"/>
    <w:rsid w:val="739D7F65"/>
    <w:rsid w:val="73BA6DE5"/>
    <w:rsid w:val="73CB58A7"/>
    <w:rsid w:val="73E56406"/>
    <w:rsid w:val="74055B10"/>
    <w:rsid w:val="74264B95"/>
    <w:rsid w:val="74274932"/>
    <w:rsid w:val="743025E1"/>
    <w:rsid w:val="74553B4B"/>
    <w:rsid w:val="745E6993"/>
    <w:rsid w:val="74725AF1"/>
    <w:rsid w:val="74745B1F"/>
    <w:rsid w:val="749D661B"/>
    <w:rsid w:val="74FD02B3"/>
    <w:rsid w:val="75295C38"/>
    <w:rsid w:val="755331EC"/>
    <w:rsid w:val="75707649"/>
    <w:rsid w:val="75C54221"/>
    <w:rsid w:val="75CD3DB4"/>
    <w:rsid w:val="75F34E22"/>
    <w:rsid w:val="769876C2"/>
    <w:rsid w:val="76C667A4"/>
    <w:rsid w:val="77090A3A"/>
    <w:rsid w:val="77365109"/>
    <w:rsid w:val="773C77FD"/>
    <w:rsid w:val="775D76DD"/>
    <w:rsid w:val="777827AE"/>
    <w:rsid w:val="777D7660"/>
    <w:rsid w:val="77801522"/>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722606"/>
    <w:rsid w:val="7B99290A"/>
    <w:rsid w:val="7B9A2382"/>
    <w:rsid w:val="7BD61B09"/>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4C4618"/>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6">
    <w:name w:val="Normal Indent"/>
    <w:basedOn w:val="1"/>
    <w:qFormat/>
    <w:uiPriority w:val="0"/>
    <w:pPr>
      <w:ind w:firstLine="420"/>
    </w:pPr>
    <w:rPr>
      <w:szCs w:val="21"/>
    </w:rPr>
  </w:style>
  <w:style w:type="paragraph" w:styleId="7">
    <w:name w:val="Body Text"/>
    <w:basedOn w:val="1"/>
    <w:next w:val="1"/>
    <w:qFormat/>
    <w:uiPriority w:val="0"/>
    <w:pPr>
      <w:spacing w:after="120"/>
    </w:pPr>
  </w:style>
  <w:style w:type="paragraph" w:styleId="8">
    <w:name w:val="Body Text Indent"/>
    <w:basedOn w:val="1"/>
    <w:qFormat/>
    <w:uiPriority w:val="0"/>
    <w:pPr>
      <w:ind w:left="-105" w:firstLine="232" w:firstLineChars="232"/>
    </w:pPr>
    <w:rPr>
      <w:rFonts w:eastAsia="仿宋_GB2312"/>
      <w:sz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Indent 3"/>
    <w:basedOn w:val="1"/>
    <w:qFormat/>
    <w:uiPriority w:val="0"/>
    <w:pPr>
      <w:spacing w:after="120"/>
      <w:ind w:left="200" w:leftChars="200"/>
    </w:pPr>
    <w:rPr>
      <w:sz w:val="16"/>
      <w:szCs w:val="16"/>
    </w:rPr>
  </w:style>
  <w:style w:type="paragraph" w:styleId="13">
    <w:name w:val="Message Header"/>
    <w:basedOn w:val="1"/>
    <w:next w:val="1"/>
    <w:qFormat/>
    <w:uiPriority w:val="0"/>
    <w:pPr>
      <w:widowControl w:val="0"/>
      <w:shd w:val="clear" w:color="auto" w:fill="auto"/>
      <w:adjustRightInd w:val="0"/>
      <w:spacing w:before="0" w:after="0"/>
      <w:ind w:left="0" w:right="0" w:firstLine="0" w:firstLineChars="0"/>
      <w:jc w:val="both"/>
    </w:pPr>
    <w:rPr>
      <w:rFonts w:ascii="Arial" w:hAnsi="Arial" w:eastAsia="宋体" w:cs="Times New Roman"/>
      <w:kern w:val="2"/>
      <w:sz w:val="21"/>
      <w:szCs w:val="22"/>
      <w:lang w:val="en-US" w:eastAsia="zh-CN" w:bidi="ar-SA"/>
    </w:rPr>
  </w:style>
  <w:style w:type="paragraph" w:styleId="14">
    <w:name w:val="Body Text First Indent"/>
    <w:basedOn w:val="7"/>
    <w:next w:val="1"/>
    <w:qFormat/>
    <w:uiPriority w:val="0"/>
    <w:pPr>
      <w:ind w:firstLine="420" w:firstLineChars="100"/>
    </w:pPr>
    <w:rPr>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mphasis"/>
    <w:basedOn w:val="17"/>
    <w:qFormat/>
    <w:uiPriority w:val="0"/>
    <w:rPr>
      <w:i/>
    </w:rPr>
  </w:style>
  <w:style w:type="character" w:styleId="19">
    <w:name w:val="Hyperlink"/>
    <w:qFormat/>
    <w:uiPriority w:val="0"/>
    <w:rPr>
      <w:color w:val="006699"/>
      <w:u w:val="single"/>
    </w:rPr>
  </w:style>
  <w:style w:type="character" w:customStyle="1" w:styleId="20">
    <w:name w:val="font51"/>
    <w:basedOn w:val="17"/>
    <w:qFormat/>
    <w:uiPriority w:val="0"/>
    <w:rPr>
      <w:rFonts w:hint="default" w:ascii="Times New Roman" w:hAnsi="Times New Roman" w:cs="Times New Roman"/>
      <w:color w:val="000000"/>
      <w:sz w:val="22"/>
      <w:szCs w:val="22"/>
      <w:u w:val="none"/>
    </w:rPr>
  </w:style>
  <w:style w:type="character" w:customStyle="1" w:styleId="21">
    <w:name w:val="font21"/>
    <w:basedOn w:val="17"/>
    <w:qFormat/>
    <w:uiPriority w:val="0"/>
    <w:rPr>
      <w:rFonts w:hint="eastAsia" w:ascii="宋体" w:hAnsi="宋体" w:eastAsia="宋体" w:cs="宋体"/>
      <w:color w:val="000000"/>
      <w:sz w:val="22"/>
      <w:szCs w:val="22"/>
      <w:u w:val="none"/>
    </w:rPr>
  </w:style>
  <w:style w:type="character" w:customStyle="1" w:styleId="22">
    <w:name w:val="font41"/>
    <w:basedOn w:val="17"/>
    <w:qFormat/>
    <w:uiPriority w:val="0"/>
    <w:rPr>
      <w:rFonts w:hint="eastAsia" w:ascii="宋体" w:hAnsi="宋体" w:eastAsia="宋体" w:cs="宋体"/>
      <w:color w:val="000000"/>
      <w:sz w:val="22"/>
      <w:szCs w:val="22"/>
      <w:u w:val="none"/>
    </w:rPr>
  </w:style>
  <w:style w:type="character" w:customStyle="1" w:styleId="23">
    <w:name w:val="font11"/>
    <w:basedOn w:val="17"/>
    <w:qFormat/>
    <w:uiPriority w:val="0"/>
    <w:rPr>
      <w:rFonts w:hint="eastAsia" w:ascii="宋体" w:hAnsi="宋体" w:eastAsia="宋体" w:cs="宋体"/>
      <w:color w:val="000000"/>
      <w:sz w:val="20"/>
      <w:szCs w:val="20"/>
      <w:u w:val="none"/>
      <w:vertAlign w:val="superscript"/>
    </w:rPr>
  </w:style>
  <w:style w:type="character" w:customStyle="1" w:styleId="24">
    <w:name w:val="font31"/>
    <w:basedOn w:val="17"/>
    <w:qFormat/>
    <w:uiPriority w:val="0"/>
    <w:rPr>
      <w:rFonts w:hint="default" w:ascii="Times New Roman" w:hAnsi="Times New Roman" w:cs="Times New Roman"/>
      <w:color w:val="000000"/>
      <w:sz w:val="22"/>
      <w:szCs w:val="22"/>
      <w:u w:val="none"/>
    </w:rPr>
  </w:style>
  <w:style w:type="character" w:customStyle="1" w:styleId="25">
    <w:name w:val="font61"/>
    <w:basedOn w:val="17"/>
    <w:qFormat/>
    <w:uiPriority w:val="0"/>
    <w:rPr>
      <w:rFonts w:hint="default" w:ascii="Times New Roman" w:hAnsi="Times New Roman" w:cs="Times New Roman"/>
      <w:color w:val="000000"/>
      <w:sz w:val="22"/>
      <w:szCs w:val="22"/>
      <w:u w:val="none"/>
    </w:rPr>
  </w:style>
  <w:style w:type="character" w:customStyle="1" w:styleId="26">
    <w:name w:val="font01"/>
    <w:basedOn w:val="17"/>
    <w:qFormat/>
    <w:uiPriority w:val="0"/>
    <w:rPr>
      <w:rFonts w:ascii="font-weight : 400" w:hAnsi="font-weight : 400" w:eastAsia="font-weight : 400" w:cs="font-weight : 400"/>
      <w:color w:val="000000"/>
      <w:sz w:val="22"/>
      <w:szCs w:val="22"/>
      <w:u w:val="none"/>
    </w:rPr>
  </w:style>
  <w:style w:type="paragraph" w:customStyle="1" w:styleId="2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8">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9">
    <w:name w:val="Char"/>
    <w:basedOn w:val="1"/>
    <w:qFormat/>
    <w:uiPriority w:val="0"/>
    <w:pPr>
      <w:tabs>
        <w:tab w:val="left" w:pos="360"/>
      </w:tabs>
      <w:ind w:firstLine="200" w:firstLineChars="200"/>
    </w:pPr>
    <w:rPr>
      <w:sz w:val="28"/>
      <w:szCs w:val="30"/>
    </w:rPr>
  </w:style>
  <w:style w:type="paragraph" w:customStyle="1" w:styleId="30">
    <w:name w:val="正文_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10674</Words>
  <Characters>11644</Characters>
  <Lines>40</Lines>
  <Paragraphs>11</Paragraphs>
  <TotalTime>1</TotalTime>
  <ScaleCrop>false</ScaleCrop>
  <LinksUpToDate>false</LinksUpToDate>
  <CharactersWithSpaces>12879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Administrator</cp:lastModifiedBy>
  <cp:lastPrinted>2021-04-14T01:55:00Z</cp:lastPrinted>
  <dcterms:modified xsi:type="dcterms:W3CDTF">2022-08-13T01:08:05Z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E530D0910F2C4637B645AF7E3D8E60C7</vt:lpwstr>
  </property>
</Properties>
</file>