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cs="宋体"/>
          <w:b/>
          <w:bCs/>
          <w:color w:val="000000"/>
          <w:sz w:val="84"/>
          <w:szCs w:val="84"/>
          <w:lang w:val="en-US" w:eastAsia="zh-CN"/>
        </w:rPr>
      </w:pPr>
      <w:r>
        <w:rPr>
          <w:rFonts w:hint="eastAsia" w:cs="宋体"/>
          <w:b/>
          <w:bCs/>
          <w:color w:val="000000"/>
          <w:sz w:val="84"/>
          <w:szCs w:val="84"/>
          <w:lang w:val="en-US" w:eastAsia="zh-CN"/>
        </w:rPr>
        <w:t xml:space="preserve"> </w:t>
      </w: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val="en-US" w:eastAsia="zh-CN"/>
        </w:rPr>
        <w:t>公告</w:t>
      </w:r>
      <w:r>
        <w:rPr>
          <w:rFonts w:hint="eastAsia" w:cs="宋体"/>
          <w:b/>
          <w:bCs/>
          <w:color w:val="000000"/>
          <w:sz w:val="84"/>
          <w:szCs w:val="84"/>
          <w:lang w:eastAsia="zh-CN"/>
        </w:rPr>
        <w:t>（</w:t>
      </w:r>
      <w:r>
        <w:rPr>
          <w:rFonts w:hint="eastAsia" w:cs="宋体"/>
          <w:b/>
          <w:bCs/>
          <w:color w:val="000000"/>
          <w:sz w:val="84"/>
          <w:szCs w:val="84"/>
          <w:lang w:val="en-US" w:eastAsia="zh-CN"/>
        </w:rPr>
        <w:t>二次</w:t>
      </w:r>
      <w:r>
        <w:rPr>
          <w:rFonts w:hint="eastAsia" w:cs="宋体"/>
          <w:b/>
          <w:bCs/>
          <w:color w:val="000000"/>
          <w:sz w:val="84"/>
          <w:szCs w:val="84"/>
          <w:lang w:eastAsia="zh-CN"/>
        </w:rPr>
        <w:t>）</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rPr>
        <w:t>2</w:t>
      </w:r>
      <w:r>
        <w:rPr>
          <w:rFonts w:hint="eastAsia" w:ascii="楷体_GB2312" w:hAnsi="楷体_GB2312" w:eastAsia="楷体_GB2312" w:cs="楷体_GB2312"/>
          <w:b/>
          <w:bCs/>
          <w:color w:val="000000"/>
          <w:sz w:val="36"/>
          <w:szCs w:val="36"/>
          <w:u w:val="single"/>
          <w:lang w:val="en-US" w:eastAsia="zh-CN"/>
        </w:rPr>
        <w:t>2</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61</w:t>
      </w:r>
      <w:r>
        <w:rPr>
          <w:rFonts w:ascii="楷体_GB2312" w:hAnsi="楷体_GB2312" w:eastAsia="楷体_GB2312" w:cs="楷体_GB2312"/>
          <w:b/>
          <w:bCs/>
          <w:color w:val="000000"/>
          <w:sz w:val="36"/>
          <w:szCs w:val="36"/>
          <w:u w:val="single"/>
        </w:rPr>
        <w:t>#</w:t>
      </w:r>
    </w:p>
    <w:p>
      <w:pPr>
        <w:rPr>
          <w:rFonts w:ascii="楷体_GB2312" w:hAnsi="楷体_GB2312" w:eastAsia="楷体_GB2312" w:cs="楷体_GB2312"/>
          <w:b/>
          <w:bCs/>
          <w:color w:val="000000"/>
          <w:sz w:val="32"/>
          <w:szCs w:val="32"/>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2022年度暑期教学仪器设备维修保养项目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w:t>
      </w:r>
      <w:r>
        <w:rPr>
          <w:rFonts w:hint="eastAsia" w:ascii="黑体" w:eastAsia="黑体" w:cs="黑体"/>
          <w:color w:val="000000"/>
          <w:sz w:val="44"/>
          <w:szCs w:val="44"/>
          <w:lang w:val="en-US" w:eastAsia="zh-CN"/>
        </w:rPr>
        <w:t>2</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9</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17"/>
        <w:ind w:firstLine="210"/>
      </w:pPr>
    </w:p>
    <w:p>
      <w:pPr>
        <w:pStyle w:val="17"/>
        <w:ind w:firstLine="210"/>
      </w:pPr>
    </w:p>
    <w:p>
      <w:pPr>
        <w:spacing w:line="700" w:lineRule="exact"/>
        <w:jc w:val="center"/>
        <w:rPr>
          <w:rFonts w:cs="Times New Roman"/>
          <w:b/>
          <w:bCs/>
          <w:sz w:val="44"/>
          <w:szCs w:val="44"/>
        </w:rPr>
      </w:pPr>
      <w:r>
        <w:rPr>
          <w:rFonts w:hint="eastAsia" w:cs="宋体"/>
          <w:b/>
          <w:bCs/>
          <w:sz w:val="44"/>
          <w:szCs w:val="44"/>
        </w:rPr>
        <w:t>提 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10"/>
        <w:spacing w:line="600" w:lineRule="exact"/>
        <w:ind w:firstLine="742"/>
        <w:rPr>
          <w:rFonts w:ascii="仿宋_GB2312" w:cs="Times New Roman"/>
          <w:color w:val="000000"/>
        </w:rPr>
      </w:pPr>
    </w:p>
    <w:p>
      <w:pPr>
        <w:pStyle w:val="10"/>
        <w:spacing w:line="600" w:lineRule="exact"/>
        <w:ind w:firstLine="742"/>
        <w:rPr>
          <w:rFonts w:ascii="仿宋_GB2312" w:cs="Times New Roman"/>
          <w:color w:val="000000"/>
        </w:rPr>
      </w:pPr>
    </w:p>
    <w:p>
      <w:pPr>
        <w:pStyle w:val="10"/>
        <w:spacing w:line="600" w:lineRule="exact"/>
        <w:ind w:firstLine="742"/>
        <w:rPr>
          <w:rFonts w:ascii="仿宋_GB2312" w:cs="Times New Roman"/>
          <w:color w:val="000000"/>
        </w:rPr>
      </w:pPr>
    </w:p>
    <w:p>
      <w:pPr>
        <w:pStyle w:val="10"/>
        <w:spacing w:line="600" w:lineRule="exact"/>
        <w:ind w:firstLine="742"/>
        <w:rPr>
          <w:rFonts w:ascii="仿宋_GB2312" w:cs="Times New Roman"/>
          <w:color w:val="000000"/>
        </w:rPr>
      </w:pPr>
    </w:p>
    <w:p>
      <w:pPr>
        <w:pStyle w:val="10"/>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color w:val="000000"/>
          <w:sz w:val="28"/>
          <w:szCs w:val="28"/>
          <w:u w:val="single"/>
        </w:rPr>
        <w:t>2022年度暑期教学仪器设备维修保养</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黑体" w:hAnsi="黑体" w:eastAsia="黑体" w:cs="黑体"/>
          <w:b/>
          <w:bCs/>
          <w:sz w:val="28"/>
          <w:szCs w:val="28"/>
        </w:rPr>
      </w:pPr>
      <w:r>
        <w:rPr>
          <w:rFonts w:hint="eastAsia" w:ascii="黑体" w:hAnsi="黑体" w:eastAsia="黑体" w:cs="黑体"/>
          <w:b/>
          <w:bCs/>
          <w:sz w:val="28"/>
          <w:szCs w:val="28"/>
        </w:rPr>
        <w:t>一、招标项目</w:t>
      </w:r>
    </w:p>
    <w:p>
      <w:pPr>
        <w:pStyle w:val="17"/>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eastAsia="zh-CN"/>
        </w:rPr>
        <w:t>标段二：</w:t>
      </w:r>
      <w:r>
        <w:rPr>
          <w:rFonts w:hint="eastAsia" w:ascii="黑体" w:hAnsi="黑体" w:eastAsia="黑体" w:cs="黑体"/>
          <w:b/>
          <w:bCs/>
          <w:sz w:val="28"/>
          <w:szCs w:val="28"/>
          <w:lang w:val="en-US" w:eastAsia="zh-CN"/>
        </w:rPr>
        <w:t>机械加工类设备维修</w:t>
      </w:r>
    </w:p>
    <w:tbl>
      <w:tblPr>
        <w:tblStyle w:val="18"/>
        <w:tblW w:w="10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2"/>
        <w:gridCol w:w="926"/>
        <w:gridCol w:w="1816"/>
        <w:gridCol w:w="457"/>
        <w:gridCol w:w="457"/>
        <w:gridCol w:w="993"/>
        <w:gridCol w:w="2088"/>
        <w:gridCol w:w="1071"/>
        <w:gridCol w:w="1329"/>
        <w:gridCol w:w="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472"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2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181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45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5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9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故障描述及原因</w:t>
            </w:r>
          </w:p>
        </w:tc>
        <w:tc>
          <w:tcPr>
            <w:tcW w:w="208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维修方案/更换配件</w:t>
            </w:r>
          </w:p>
        </w:tc>
        <w:tc>
          <w:tcPr>
            <w:tcW w:w="107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报价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c>
          <w:tcPr>
            <w:tcW w:w="132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设备存放地点</w:t>
            </w:r>
          </w:p>
        </w:tc>
        <w:tc>
          <w:tcPr>
            <w:tcW w:w="771"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冲击导向板</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THMDZT-1.6J-27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冲头导向套</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THMDZT-1.6J-18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模拟冲头</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THMDZT-1.6J-9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活结上端盖</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THMDZT-1.6J-10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活结圆球</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THMDZT-1.6J-8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压头连接体</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THMDZT-1.6J-7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锁紧弧挡套</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THMDZT-1A.3J-39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弹簧顶盖</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THMDZT-1.1J-26</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滑块拨杆</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THMDZT-1.1J-25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胶木球</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内部带M8铁芯</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沉头螺钉</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弹簧</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外径Φ8×Φ1×18～20，两端为平面</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齿轮拨叉1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THMDZT-1.1J-21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齿轮拨叉2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THMDZT-1.1J-22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轴承座用透盖（一）</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THMDZT-1.4J-8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轴承座用透盖（二）</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THMDZT-1.3J-6</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同步带</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372XL 075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同步带</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580XL 075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台虎钳</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滚珠丝杠</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DVS-D-2005-356-F</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滚珠丝杠</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DVS-D-2005-506-F</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EGH15CA 直线导轨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280mm</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EGH16CA 直线导轨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460mm</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08B链条连接片</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120节，配连接片</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齿轮拨叉3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THMDZT-1.1J-23</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齿轮拨叉4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THMDZT-1.1J-24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钢珠</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滑块</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THMDZT-1.1J-20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齿轮套筒（二）</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THMDZT-1.1J-29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滑动轴（二)</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THMDZT-1.1J-19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齿轮套筒（三）</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THMDZT-1.1J-27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PLC</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1214AC/DC/RLY</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输出点晶体管输出无响应</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维修（含安装）</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B314</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电子实训台</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1.实训台照明电路故障；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2.设备电路故障；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3.实训台金属台面油漆破损；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4.实训台木质桌面需要铺绝缘垫;</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1.实训台照明电路需要更换；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2.设备电路故障维修；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3.实训台金属台面打磨刷漆；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4.实训台木质桌面需要铺绝缘垫，规格1.2米*10米*2mm，数量20卷</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B316</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5"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电工实训台</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1.桌子支架脚生锈损坏;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2.桌子台面破损;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3.实训台柜柜门变形、损坏;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4.实训台支架焊接;</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1.桌子支架脚维修，更换配件；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2.桌子台面铺绝缘垫，规格同上；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3.实训台柜柜门维修；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4.实训台支架焊接；</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B302、B303、B304</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隔离网</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柔性制造单元安装防护隔离网</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每组隔离网含一柱一网，柱高1.5m，网宽1m，柱黄色，网黑色，含安装。</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B一楼柔性制造单元实训区</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栋梁液压传动与PLC控制综合实验台</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DLYY-DH311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马达损坏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维修马达</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B二楼液压实训室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栋梁液压传动与PLC控制综合实验台</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DLYY-DH311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3位4通电磁换向阀（O）模块损坏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更换新模块，型号栋梁4WE6E-6X/ED24LH，数量5个，满足功能</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B二楼液压实训室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栋梁液压传动与PLC控制综合实验台</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DLYY-DH311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2位4通电磁换向阀模块损坏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更换新模块，型号栋梁4WE6D-6X/ED24LH，数量4个，满足功能</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B二楼液压实训室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德西加工中心</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MCV-L850-4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SV0434和SP9110报警无法使用、机床精度需恢复</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维修机床解除报警，设备能运行；机床精度恢复</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A一楼加工中心实训室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德西加工中心</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MCV-L850-4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MCV-L850-4加工中心定制冷却液水箱，排屑方向向左</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定制冷却液水箱</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A一楼加工中心实训室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5"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南通加工中心</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VMC600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机床部分零部件老化、刀库不能换刀、机床精度需恢复</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更换门和两侧窗子的有机玻璃板；更换气路、油路的管子及油泵；更换面板、按钮及旋钮开关；更换手摇轮；恢复机床精度；维修刀库，能正常换刀。</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A一楼加工中心实训室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机床不通电</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维修；恢复机床通电</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A二楼北区，5#机床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总电源推不上去及低速车螺纹有异常响声</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A二楼北区，9#机床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机床不通电</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维修；恢复机床通电</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A二楼北区，14#机床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手柄位置“I”“II”位置错乱</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A二楼北区，18#机床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变速不准确，主轴箱盖未固定</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A二楼中区，22#机床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快进按钮接触不良</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A二楼中区，26#机床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操纵杆提上后不容易定位</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A二楼中区，31#机床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主轴无法变速，水管漏水</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A二楼中区，36#机床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刀架中心紧固螺钉打转，刀架无法锁紧</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维修；更换螺钉及维修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A二楼中区，40#机床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高速运转主轴箱噪声大</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A二楼南区，42#机床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交流接触器烧坏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维修；更换交流接触器</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A二楼南区，45#机床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主轴箱轴卡死，不能运转（疑似油泵带松缺油）</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A二楼南区，46#机床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车床无反转</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A二楼南区，51#机床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尾座套筒手柄卡死、不能机动进给</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维修尾座套筒手柄</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A二楼南区，52#机床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尾座套筒手柄卡死、油泵带断</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维修尾座套筒手柄；更换油泵带</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A二楼南区，53#机床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操纵杆提主轴正传不能到位易滑落</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A二楼南区，56#机床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高速运转主轴箱噪声大</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A二楼南区，57#机床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不能更换光丝杠</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A二楼南区，59#机床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高速运转主轴箱噪声大</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A二楼南区，60#机床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大连CKA6150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机床卡盘有裂纹；机床尾座卡死，不能正常使用；刀架卡死</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更换卡盘，方圆品牌，型号250，含正反卡爪和卡盘扳手；维修尾座；维修刀架</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B一楼东区，法拉克1#</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3"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大连CKA6150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机床卡盘有裂纹；报警“X、Z两个轴直流母线欠压”；机床尾座卡死，不能正常使用；主轴箱下疑似漏油；刀架卡死</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更换卡盘，方圆品牌，型号250，含正反卡爪和卡盘扳手；维修设备解除报警；维修尾座；维修主轴箱；维修刀架</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B一楼西区，西门子1#</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缺少切削液</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加切削液：泰伦特，微乳化切削液，PRO-CUT CCF-10III（20KG/桶），数量12桶</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斜床身数控车床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南通CKA6150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机床漏机油</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机床维修；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机床加油，抗磨液压油，型号AW46（170KG/桶），数量1桶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B一楼东区，法拉克1#</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斜床身数控车床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南通CKA6150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系统启动之后，点击“机床准备”按钮，系统直接黑屏，电气柜跳闸</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B一楼东区，法拉克3#</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手动平面磨床水泵</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DB-12A</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线圈烧坏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更换水泵，维修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B一楼磨工实习区</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TRIMOS测高仪</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MT600M0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测头移动手柄故障</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维修手柄</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B一楼精密检测室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需厂家维修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力德三坐标</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FLY654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检测软件版本低</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检测软件升级为最新版本（包含检测机房软件升级）</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B一楼精密检测室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需厂家维护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电子门禁系统</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实训室安装电子门禁</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双扇玻璃门门禁，包含主机、电源、磁力锁、开关等安装</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B楼实训室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线切割2号机</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FW1V</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丝筒轴承需更换</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更换丝筒轴承</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B一楼电加工实习区</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线切割3号机</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FW1V</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水泵不运行</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水泵及其控制电路需维修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B一楼电加工实习区</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线切割4号机</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FW1V</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高频振荡板有异常，烧丝、断丝</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B一楼电加工实习区</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线切割1号-6号</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FW1V</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丝筒防护罩有开裂变形，</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更换丝筒防护罩</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B一楼电加工实习区</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线切割1号-6号</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FW1V</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防水挡板破损严重</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更换防水挡板</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B一楼电加工实习区</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线切割1号-6号</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FW1V</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运丝噪音大</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更换运丝轴承</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B一楼电加工实习区</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线切割1号-6号</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FW1V</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水管老化</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更换水管</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B一楼电加工实习区</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线切割1号-6号</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FW1V</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防尘罩老化</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更换防尘罩</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B一楼电加工实习区</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钳台桌</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1500*600*800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桌子生锈，油漆脱落，需要翻新</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翻新</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海洋路校区汽车工程学院钳工车间</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含安装、油漆三层（防锈漆、低漆、表面漆）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钳台桌防护网</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2mm不锈钢冲8mm的孔</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严重锈洞，需要更换</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需要更换</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海洋路校区汽车工程学院钳工车间</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钳台桌橡皮垫</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1500*600*5</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时间长了老化，需要更换</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需要更换</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海洋路校区汽车工程学院钳工车间</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Z4012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皮带老化，需要更换，手柄脱落，开关损坏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需要更换</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海洋路校区汽车工程学院钳工车间</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电动卡压钳</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DE-65779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卡压钳不动作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返厂维护</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北校区管道与制暖集训基地 </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床头、床尾无法摇高，床档损坏，缺零件</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海洋路校区幼护学院608</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pStyle w:val="17"/>
        <w:keepNext w:val="0"/>
        <w:keepLines w:val="0"/>
        <w:pageBreakBefore w:val="0"/>
        <w:widowControl w:val="0"/>
        <w:kinsoku/>
        <w:wordWrap/>
        <w:overflowPunct/>
        <w:topLinePunct w:val="0"/>
        <w:autoSpaceDE/>
        <w:autoSpaceDN/>
        <w:bidi w:val="0"/>
        <w:adjustRightInd/>
        <w:snapToGrid/>
        <w:spacing w:after="0"/>
        <w:ind w:firstLine="562" w:firstLineChars="200"/>
        <w:textAlignment w:val="auto"/>
        <w:rPr>
          <w:rFonts w:hint="default" w:eastAsia="黑体"/>
          <w:lang w:val="en-US" w:eastAsia="zh-CN"/>
        </w:rPr>
      </w:pPr>
      <w:r>
        <w:rPr>
          <w:rFonts w:hint="eastAsia" w:ascii="黑体" w:hAnsi="黑体" w:eastAsia="黑体" w:cs="黑体"/>
          <w:b/>
          <w:bCs/>
          <w:sz w:val="28"/>
          <w:szCs w:val="28"/>
          <w:lang w:eastAsia="zh-CN"/>
        </w:rPr>
        <w:t>投标人需进行现场踏勘，充分了解需维修的教学仪器现状，以及维修所需的材料、人工等，招标人不予支付中标合同款以外的任何费用，招标人将按照清单中的内容进行验收考核，并根据验收考核结果，核定后支付具体金额（不超过中标金额）。现场踏勘联系人：吕老师（</w:t>
      </w:r>
      <w:r>
        <w:rPr>
          <w:rFonts w:hint="eastAsia" w:ascii="黑体" w:hAnsi="黑体" w:eastAsia="黑体" w:cs="黑体"/>
          <w:b/>
          <w:bCs/>
          <w:sz w:val="28"/>
          <w:szCs w:val="28"/>
          <w:lang w:val="en-US" w:eastAsia="zh-CN"/>
        </w:rPr>
        <w:t>15895147792）</w:t>
      </w:r>
    </w:p>
    <w:p>
      <w:pPr>
        <w:adjustRightInd w:val="0"/>
        <w:snapToGrid w:val="0"/>
        <w:spacing w:line="520" w:lineRule="exact"/>
        <w:ind w:firstLine="562" w:firstLineChars="200"/>
        <w:jc w:val="left"/>
        <w:rPr>
          <w:rFonts w:hint="eastAsia"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．供应商必须具有独立承担民事责任的能力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r>
        <w:rPr>
          <w:rFonts w:hint="eastAsia" w:ascii="仿宋_GB2312" w:eastAsia="仿宋_GB2312" w:cs="仿宋_GB2312"/>
          <w:color w:val="000000"/>
          <w:sz w:val="28"/>
          <w:szCs w:val="28"/>
          <w:lang w:eastAsia="zh-CN"/>
        </w:rPr>
        <w:t>，具备</w:t>
      </w:r>
      <w:r>
        <w:rPr>
          <w:rFonts w:hint="eastAsia" w:ascii="仿宋_GB2312" w:eastAsia="仿宋_GB2312" w:cs="仿宋_GB2312"/>
          <w:color w:val="000000"/>
          <w:sz w:val="28"/>
          <w:szCs w:val="28"/>
          <w:lang w:val="en-US" w:eastAsia="zh-CN"/>
        </w:rPr>
        <w:t>维修能力，有专业人员负责维修</w:t>
      </w:r>
      <w:r>
        <w:rPr>
          <w:rFonts w:hint="eastAsia" w:ascii="仿宋_GB2312" w:eastAsia="仿宋_GB2312" w:cs="仿宋_GB2312"/>
          <w:color w:val="000000"/>
          <w:sz w:val="28"/>
          <w:szCs w:val="28"/>
        </w:rPr>
        <w:t>。</w:t>
      </w:r>
    </w:p>
    <w:p>
      <w:pPr>
        <w:snapToGrid w:val="0"/>
        <w:spacing w:line="560" w:lineRule="exact"/>
        <w:ind w:firstLine="560" w:firstLineChars="200"/>
        <w:rPr>
          <w:rFonts w:ascii="仿宋_GB2312" w:eastAsia="仿宋_GB2312"/>
          <w:color w:val="000000"/>
          <w:sz w:val="28"/>
          <w:szCs w:val="28"/>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lang w:eastAsia="zh-CN"/>
        </w:rPr>
        <w:t>.</w:t>
      </w:r>
      <w:r>
        <w:rPr>
          <w:rFonts w:hint="eastAsia" w:ascii="仿宋_GB2312" w:eastAsia="仿宋_GB2312" w:cs="仿宋_GB2312"/>
          <w:color w:val="000000"/>
          <w:sz w:val="28"/>
          <w:szCs w:val="28"/>
        </w:rPr>
        <w:t>供应商未处于投标资格被取消或者财产被接管、冻结和破产状态；没有因骗取中标或严重违约以及发生重大质量、安全生产事故等问题被有关部门暂停投标资格并在暂停期内的。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eastAsia="仿宋_GB2312"/>
          <w:sz w:val="24"/>
        </w:rPr>
      </w:pPr>
      <w:r>
        <w:rPr>
          <w:rFonts w:hint="eastAsia" w:ascii="仿宋_GB2312" w:eastAsia="仿宋_GB2312" w:cs="仿宋_GB2312"/>
          <w:color w:val="000000"/>
          <w:sz w:val="28"/>
          <w:szCs w:val="28"/>
          <w:lang w:val="en-US" w:eastAsia="zh-CN"/>
        </w:rPr>
        <w:t>5</w:t>
      </w:r>
      <w:r>
        <w:rPr>
          <w:rFonts w:ascii="仿宋_GB2312" w:eastAsia="仿宋_GB2312" w:cs="仿宋_GB2312"/>
          <w:color w:val="000000"/>
          <w:sz w:val="28"/>
          <w:szCs w:val="28"/>
        </w:rPr>
        <w:t>.</w:t>
      </w:r>
      <w:r>
        <w:rPr>
          <w:rFonts w:hint="eastAsia" w:ascii="仿宋_GB2312" w:eastAsia="仿宋_GB2312" w:cs="仿宋_GB2312"/>
          <w:color w:val="000000"/>
          <w:sz w:val="28"/>
          <w:szCs w:val="28"/>
        </w:rPr>
        <w:t>本项目不接受联合体投标。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hAnsi="仿宋_GB2312" w:eastAsia="仿宋_GB2312" w:cs="仿宋_GB2312"/>
          <w:kern w:val="0"/>
          <w:sz w:val="28"/>
          <w:szCs w:val="28"/>
          <w:lang w:eastAsia="zh-CN"/>
        </w:rPr>
        <w:t>暑期教学仪器设备维修保养</w:t>
      </w:r>
    </w:p>
    <w:p>
      <w:pPr>
        <w:snapToGrid w:val="0"/>
        <w:spacing w:line="460" w:lineRule="exact"/>
        <w:ind w:firstLine="560" w:firstLineChars="200"/>
        <w:rPr>
          <w:rFonts w:ascii="仿宋_GB2312" w:hAnsi="仿宋_GB2312" w:eastAsia="仿宋_GB2312" w:cs="仿宋_GB2312"/>
          <w:color w:val="000000"/>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．服务期限：</w:t>
      </w:r>
      <w:r>
        <w:rPr>
          <w:rFonts w:hint="eastAsia" w:ascii="仿宋_GB2312" w:eastAsia="仿宋_GB2312" w:cs="仿宋_GB2312"/>
          <w:color w:val="000000"/>
          <w:sz w:val="28"/>
          <w:szCs w:val="28"/>
        </w:rPr>
        <w:t>签订合同后</w:t>
      </w:r>
      <w:r>
        <w:rPr>
          <w:rFonts w:hint="eastAsia" w:ascii="仿宋_GB2312" w:eastAsia="仿宋_GB2312" w:cs="仿宋_GB2312"/>
          <w:color w:val="000000"/>
          <w:sz w:val="28"/>
          <w:szCs w:val="28"/>
          <w:lang w:val="en-US" w:eastAsia="zh-CN"/>
        </w:rPr>
        <w:t>，</w:t>
      </w:r>
      <w:r>
        <w:rPr>
          <w:rFonts w:hint="eastAsia" w:ascii="仿宋_GB2312" w:hAnsi="仿宋_GB2312" w:eastAsia="仿宋_GB2312" w:cs="仿宋_GB2312"/>
          <w:kern w:val="0"/>
          <w:sz w:val="28"/>
          <w:szCs w:val="28"/>
          <w:lang w:val="en-US" w:eastAsia="zh-CN"/>
        </w:rPr>
        <w:t>10个工作日</w:t>
      </w:r>
      <w:r>
        <w:rPr>
          <w:rFonts w:hint="eastAsia" w:ascii="仿宋_GB2312" w:hAnsi="仿宋_GB2312" w:eastAsia="仿宋_GB2312" w:cs="仿宋_GB2312"/>
          <w:color w:val="000000"/>
          <w:kern w:val="0"/>
          <w:sz w:val="28"/>
          <w:szCs w:val="28"/>
        </w:rPr>
        <w:t>内</w:t>
      </w:r>
      <w:r>
        <w:rPr>
          <w:rFonts w:hint="eastAsia" w:ascii="仿宋_GB2312" w:hAnsi="仿宋_GB2312" w:eastAsia="仿宋_GB2312" w:cs="仿宋_GB2312"/>
          <w:color w:val="000000"/>
          <w:kern w:val="0"/>
          <w:sz w:val="28"/>
          <w:szCs w:val="28"/>
          <w:lang w:eastAsia="zh-CN"/>
        </w:rPr>
        <w:t>完成供货和设备维修保养</w:t>
      </w:r>
      <w:r>
        <w:rPr>
          <w:rFonts w:hint="eastAsia" w:ascii="仿宋_GB2312" w:hAnsi="仿宋_GB2312" w:eastAsia="仿宋_GB2312" w:cs="仿宋_GB2312"/>
          <w:color w:val="000000"/>
          <w:kern w:val="0"/>
          <w:sz w:val="28"/>
          <w:szCs w:val="28"/>
        </w:rPr>
        <w:t>。</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．招标范围：</w:t>
      </w:r>
      <w:r>
        <w:rPr>
          <w:rFonts w:hint="eastAsia" w:ascii="仿宋_GB2312" w:hAnsi="仿宋_GB2312" w:eastAsia="仿宋_GB2312" w:cs="仿宋_GB2312"/>
          <w:kern w:val="0"/>
          <w:sz w:val="28"/>
          <w:szCs w:val="28"/>
          <w:lang w:eastAsia="zh-CN"/>
        </w:rPr>
        <w:t>仪器设备维修保养，以及</w:t>
      </w:r>
      <w:r>
        <w:rPr>
          <w:rFonts w:hint="eastAsia" w:ascii="仿宋_GB2312" w:hAnsi="仿宋_GB2312" w:eastAsia="仿宋_GB2312" w:cs="仿宋_GB2312"/>
          <w:kern w:val="0"/>
          <w:sz w:val="28"/>
          <w:szCs w:val="28"/>
        </w:rPr>
        <w:t>所需货物及附配件的采购、包装、运输、售后服务</w:t>
      </w:r>
      <w:r>
        <w:rPr>
          <w:rFonts w:hint="eastAsia" w:ascii="仿宋_GB2312" w:hAnsi="仿宋_GB2312" w:eastAsia="仿宋_GB2312" w:cs="仿宋_GB2312"/>
          <w:kern w:val="0"/>
          <w:sz w:val="28"/>
          <w:szCs w:val="28"/>
          <w:lang w:eastAsia="zh-CN"/>
        </w:rPr>
        <w:t>以及维修</w:t>
      </w:r>
      <w:r>
        <w:rPr>
          <w:rFonts w:hint="eastAsia" w:ascii="仿宋_GB2312" w:hAnsi="仿宋_GB2312" w:eastAsia="仿宋_GB2312" w:cs="仿宋_GB2312"/>
          <w:kern w:val="0"/>
          <w:sz w:val="28"/>
          <w:szCs w:val="28"/>
        </w:rPr>
        <w:t>等。</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标段二：13.44万元；超过预算的报价为无效报价。</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b/>
          <w:bCs/>
          <w:color w:val="000000"/>
          <w:sz w:val="28"/>
          <w:szCs w:val="28"/>
          <w:u w:val="single"/>
          <w:lang w:val="en-US" w:eastAsia="zh-CN"/>
        </w:rPr>
        <w:t>/标段</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2000</w:t>
      </w:r>
      <w:r>
        <w:rPr>
          <w:rFonts w:hint="eastAsia" w:ascii="仿宋_GB2312" w:hAnsi="仿宋_GB2312" w:eastAsia="仿宋_GB2312" w:cs="仿宋_GB2312"/>
          <w:color w:val="000000"/>
          <w:sz w:val="28"/>
          <w:szCs w:val="28"/>
        </w:rPr>
        <w:t>元</w:t>
      </w:r>
      <w:r>
        <w:rPr>
          <w:rFonts w:hint="eastAsia" w:ascii="仿宋_GB2312" w:hAnsi="仿宋_GB2312" w:eastAsia="仿宋_GB2312" w:cs="仿宋_GB2312"/>
          <w:color w:val="000000"/>
          <w:sz w:val="28"/>
          <w:szCs w:val="28"/>
          <w:lang w:val="en-US" w:eastAsia="zh-CN"/>
        </w:rPr>
        <w:t>/标段</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履约保证金的退还：按合同要求设计并验收合格，服务期满后全额退还（无息）。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w:t>
      </w:r>
      <w:r>
        <w:rPr>
          <w:rFonts w:hint="eastAsia" w:ascii="黑体" w:hAnsi="黑体" w:eastAsia="黑体" w:cs="黑体"/>
          <w:b/>
          <w:bCs/>
          <w:sz w:val="28"/>
          <w:szCs w:val="28"/>
          <w:lang w:val="en-US" w:eastAsia="zh-CN"/>
        </w:rPr>
        <w:t>招标文件获取</w:t>
      </w:r>
      <w:r>
        <w:rPr>
          <w:rFonts w:hint="eastAsia" w:ascii="黑体" w:hAnsi="黑体" w:eastAsia="黑体" w:cs="黑体"/>
          <w:b/>
          <w:bCs/>
          <w:sz w:val="28"/>
          <w:szCs w:val="28"/>
        </w:rPr>
        <w:t>、投标文件递交截止时间、开标时间及地点</w:t>
      </w:r>
    </w:p>
    <w:p>
      <w:pPr>
        <w:shd w:val="clear" w:color="auto" w:fill="FFFFFF"/>
        <w:spacing w:line="560" w:lineRule="exact"/>
        <w:ind w:firstLine="560" w:firstLineChars="200"/>
        <w:rPr>
          <w:rFonts w:hint="eastAsia" w:ascii="仿宋_GB2312" w:hAnsi="仿宋_GB2312" w:eastAsia="仿宋_GB2312" w:cs="仿宋_GB2312"/>
          <w:b/>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招标文件获取</w:t>
      </w:r>
      <w:r>
        <w:rPr>
          <w:rFonts w:hint="eastAsia" w:ascii="仿宋_GB2312" w:hAnsi="仿宋_GB2312" w:eastAsia="仿宋_GB2312" w:cs="仿宋_GB2312"/>
          <w:color w:val="000000"/>
          <w:sz w:val="28"/>
          <w:szCs w:val="28"/>
        </w:rPr>
        <w:t>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22</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:00</w:t>
      </w:r>
      <w:r>
        <w:rPr>
          <w:rFonts w:hint="eastAsia" w:ascii="仿宋_GB2312" w:hAnsi="仿宋_GB2312" w:eastAsia="仿宋_GB2312" w:cs="仿宋_GB2312"/>
          <w:b/>
          <w:color w:val="000000"/>
          <w:sz w:val="28"/>
          <w:szCs w:val="28"/>
          <w:u w:val="single"/>
          <w:lang w:eastAsia="zh-CN"/>
        </w:rPr>
        <w:t>——</w:t>
      </w:r>
      <w:r>
        <w:rPr>
          <w:rFonts w:hint="eastAsia" w:ascii="仿宋_GB2312" w:hAnsi="仿宋_GB2312" w:eastAsia="仿宋_GB2312" w:cs="仿宋_GB2312"/>
          <w:b/>
          <w:color w:val="000000"/>
          <w:sz w:val="28"/>
          <w:szCs w:val="28"/>
          <w:u w:val="single"/>
          <w:lang w:val="en-US" w:eastAsia="zh-CN"/>
        </w:rPr>
        <w:t>16</w:t>
      </w:r>
      <w:r>
        <w:rPr>
          <w:rFonts w:hint="eastAsia" w:ascii="仿宋_GB2312" w:hAnsi="仿宋_GB2312" w:eastAsia="仿宋_GB2312" w:cs="仿宋_GB2312"/>
          <w:b/>
          <w:color w:val="000000"/>
          <w:sz w:val="28"/>
          <w:szCs w:val="28"/>
          <w:u w:val="single"/>
        </w:rPr>
        <w:t>:00）；</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联系人：杨老师 0515—68661002</w:t>
      </w:r>
      <w:r>
        <w:rPr>
          <w:rFonts w:hint="eastAsia" w:ascii="仿宋_GB2312" w:hAnsi="仿宋_GB2312" w:eastAsia="仿宋_GB2312" w:cs="仿宋_GB2312"/>
          <w:color w:val="000000"/>
          <w:sz w:val="28"/>
          <w:szCs w:val="28"/>
          <w:lang w:val="en-US" w:eastAsia="zh-CN"/>
        </w:rPr>
        <w:t>/13770176940</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22</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15</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00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22</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15</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00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投标文件递交及开标地点：盐城市文港中路128号江苏省盐城技师学院研发中心大楼</w:t>
      </w:r>
      <w:r>
        <w:rPr>
          <w:rFonts w:hint="eastAsia" w:ascii="仿宋_GB2312" w:hAnsi="仿宋_GB2312" w:eastAsia="仿宋_GB2312" w:cs="仿宋_GB2312"/>
          <w:color w:val="000000"/>
          <w:sz w:val="28"/>
          <w:szCs w:val="28"/>
          <w:lang w:val="en-US" w:eastAsia="zh-CN"/>
        </w:rPr>
        <w:t>11楼</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hint="eastAsia" w:ascii="仿宋_GB2312" w:hAnsi="??" w:eastAsia="仿宋_GB2312"/>
          <w:color w:val="000000"/>
          <w:sz w:val="28"/>
          <w:szCs w:val="28"/>
          <w:lang w:eastAsia="zh-CN"/>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r>
        <w:rPr>
          <w:rFonts w:hint="eastAsia" w:ascii="仿宋_GB2312" w:hAnsi="??" w:eastAsia="仿宋_GB2312"/>
          <w:color w:val="000000"/>
          <w:sz w:val="28"/>
          <w:szCs w:val="28"/>
          <w:lang w:eastAsia="zh-CN"/>
        </w:rPr>
        <w:t>；</w:t>
      </w:r>
    </w:p>
    <w:p>
      <w:pPr>
        <w:adjustRightInd w:val="0"/>
        <w:snapToGrid w:val="0"/>
        <w:spacing w:line="500" w:lineRule="exact"/>
        <w:ind w:firstLine="560" w:firstLineChars="200"/>
        <w:rPr>
          <w:rFonts w:ascii="仿宋_GB2312" w:hAnsi="仿宋_GB2312"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hint="eastAsia" w:ascii="仿宋_GB2312" w:hAnsi="??" w:eastAsia="仿宋_GB2312" w:cs="仿宋_GB2312"/>
          <w:color w:val="000000"/>
          <w:sz w:val="28"/>
          <w:szCs w:val="28"/>
          <w:lang w:val="en-US" w:eastAsia="zh-CN"/>
        </w:rPr>
        <w:t>200</w:t>
      </w:r>
      <w:r>
        <w:rPr>
          <w:rFonts w:ascii="仿宋_GB2312" w:hAnsi="??" w:eastAsia="仿宋_GB2312" w:cs="仿宋_GB2312"/>
          <w:color w:val="000000"/>
          <w:sz w:val="28"/>
          <w:szCs w:val="28"/>
        </w:rPr>
        <w:t xml:space="preserve">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eastAsia="黑体"/>
          <w:sz w:val="44"/>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adjustRightInd w:val="0"/>
        <w:snapToGrid w:val="0"/>
        <w:spacing w:line="500" w:lineRule="exact"/>
        <w:ind w:firstLine="562" w:firstLineChars="200"/>
        <w:rPr>
          <w:rFonts w:hint="eastAsia" w:ascii="仿宋_GB2312" w:hAnsi="??" w:eastAsia="仿宋_GB2312" w:cs="仿宋_GB2312"/>
          <w:b/>
          <w:bCs/>
          <w:color w:val="000000"/>
          <w:sz w:val="28"/>
          <w:szCs w:val="28"/>
        </w:rPr>
      </w:pPr>
      <w:r>
        <w:rPr>
          <w:rFonts w:hint="eastAsia" w:ascii="仿宋_GB2312" w:hAnsi="??" w:eastAsia="仿宋_GB2312" w:cs="仿宋_GB2312"/>
          <w:b/>
          <w:bCs/>
          <w:color w:val="000000"/>
          <w:sz w:val="28"/>
          <w:szCs w:val="28"/>
        </w:rPr>
        <w:t>特别提醒：</w:t>
      </w:r>
    </w:p>
    <w:p>
      <w:pPr>
        <w:adjustRightInd w:val="0"/>
        <w:snapToGrid w:val="0"/>
        <w:spacing w:line="500" w:lineRule="exact"/>
        <w:ind w:firstLine="562" w:firstLineChars="200"/>
        <w:rPr>
          <w:rFonts w:hint="eastAsia" w:ascii="仿宋_GB2312" w:hAnsi="??" w:eastAsia="仿宋_GB2312" w:cs="仿宋_GB2312"/>
          <w:b/>
          <w:bCs/>
          <w:color w:val="000000"/>
          <w:sz w:val="28"/>
          <w:szCs w:val="28"/>
        </w:rPr>
      </w:pPr>
      <w:r>
        <w:rPr>
          <w:rFonts w:hint="eastAsia" w:ascii="仿宋_GB2312" w:hAnsi="??" w:eastAsia="仿宋_GB2312" w:cs="仿宋_GB2312"/>
          <w:b/>
          <w:bCs/>
          <w:color w:val="000000"/>
          <w:sz w:val="28"/>
          <w:szCs w:val="28"/>
        </w:rPr>
        <w:t>招标人会根据招标需要，可能会不定期在“江苏省盐城技师学院官网”发布该项目补充答疑等澄清修改文件，请各投标人自行网上查寻，未能及时查阅响应而影响投标的，结果由投标人负责。</w:t>
      </w:r>
    </w:p>
    <w:p>
      <w:pPr>
        <w:spacing w:line="560" w:lineRule="exact"/>
        <w:ind w:firstLine="562" w:firstLineChars="200"/>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七、疫情防控要求</w:t>
      </w:r>
    </w:p>
    <w:p>
      <w:pPr>
        <w:spacing w:line="560" w:lineRule="exact"/>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因疫情防控需要，为确保校园安全投标人进入江苏省盐城技师学院文港中路校区时应服从下列疫情防控措施：</w:t>
      </w:r>
    </w:p>
    <w:p>
      <w:pPr>
        <w:spacing w:line="560" w:lineRule="exact"/>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（1）投标人从学校西大门进出；投标人车辆一律不得进入校园。</w:t>
      </w:r>
    </w:p>
    <w:p>
      <w:pPr>
        <w:spacing w:line="560" w:lineRule="exact"/>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2）授权代表限1人进入校园，进入校园前须在西大门外相关工作人员处进行信息实名登记并接受体温测量（体温异常者拒绝进入校园），所有进入校园的人员除了必须戴口罩、测体温、查验健康码、行程码，扫场所码等，来校前14天内有疫情中高风险疫区（以开标前一日权威发布的疫情风险等级区域划分为依据）旅居史的人员，按照疾控部门要求执行。请投标人注意投标截止时间，规范佩戴口罩、做好手部消毒及投标文件等消毒防护工作，提早准备好疫情防控登记的各项证明。如有疫情防控新要求，按最新要求执行。</w:t>
      </w:r>
    </w:p>
    <w:p>
      <w:pPr>
        <w:spacing w:line="560" w:lineRule="exact"/>
        <w:ind w:firstLine="562" w:firstLineChars="200"/>
        <w:rPr>
          <w:rFonts w:hint="eastAsia" w:ascii="黑体" w:hAnsi="黑体" w:eastAsia="黑体" w:cs="黑体"/>
          <w:b/>
          <w:bCs/>
          <w:sz w:val="28"/>
          <w:szCs w:val="28"/>
          <w:lang w:eastAsia="zh-CN"/>
        </w:rPr>
      </w:pPr>
      <w:r>
        <w:rPr>
          <w:rFonts w:hint="eastAsia" w:ascii="黑体" w:hAnsi="黑体" w:eastAsia="黑体" w:cs="黑体"/>
          <w:b/>
          <w:bCs/>
          <w:sz w:val="28"/>
          <w:szCs w:val="28"/>
          <w:lang w:val="en-US" w:eastAsia="zh-CN"/>
        </w:rPr>
        <w:t>（3）投标人进入校园后应在指定地点参与投标活动，不到非相关场所活动；投标工作结束后应立即离开校园，不逗留。</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lang w:eastAsia="zh-CN"/>
        </w:rPr>
        <w:t>八、</w:t>
      </w:r>
      <w:r>
        <w:rPr>
          <w:rFonts w:hint="eastAsia" w:ascii="黑体" w:hAnsi="黑体" w:eastAsia="黑体" w:cs="黑体"/>
          <w:b/>
          <w:bCs/>
          <w:sz w:val="28"/>
          <w:szCs w:val="28"/>
        </w:rPr>
        <w:t>招标人联系方式</w:t>
      </w:r>
    </w:p>
    <w:tbl>
      <w:tblPr>
        <w:tblStyle w:val="18"/>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noWrap w:val="0"/>
            <w:vAlign w:val="center"/>
          </w:tcPr>
          <w:p>
            <w:pPr>
              <w:pBdr>
                <w:bottom w:val="single" w:color="auto" w:sz="6" w:space="1"/>
              </w:pBdr>
              <w:tabs>
                <w:tab w:val="center" w:pos="4153"/>
                <w:tab w:val="right" w:pos="8306"/>
              </w:tabs>
              <w:snapToGrid w:val="0"/>
              <w:spacing w:line="5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联系人</w:t>
            </w:r>
          </w:p>
        </w:tc>
        <w:tc>
          <w:tcPr>
            <w:tcW w:w="7661" w:type="dxa"/>
            <w:noWrap w:val="0"/>
            <w:vAlign w:val="top"/>
          </w:tcPr>
          <w:p>
            <w:pPr>
              <w:pBdr>
                <w:bottom w:val="single" w:color="auto" w:sz="6" w:space="1"/>
              </w:pBdr>
              <w:tabs>
                <w:tab w:val="center" w:pos="4153"/>
                <w:tab w:val="right" w:pos="8306"/>
              </w:tabs>
              <w:snapToGrid w:val="0"/>
              <w:spacing w:line="50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杨老师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noWrap w:val="0"/>
            <w:vAlign w:val="center"/>
          </w:tcPr>
          <w:p>
            <w:pPr>
              <w:pBdr>
                <w:bottom w:val="single" w:color="auto" w:sz="6" w:space="1"/>
              </w:pBdr>
              <w:tabs>
                <w:tab w:val="center" w:pos="4153"/>
                <w:tab w:val="right" w:pos="8306"/>
              </w:tabs>
              <w:snapToGrid w:val="0"/>
              <w:spacing w:line="5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电 话</w:t>
            </w:r>
          </w:p>
        </w:tc>
        <w:tc>
          <w:tcPr>
            <w:tcW w:w="7661" w:type="dxa"/>
            <w:noWrap w:val="0"/>
            <w:vAlign w:val="top"/>
          </w:tcPr>
          <w:p>
            <w:pPr>
              <w:pBdr>
                <w:bottom w:val="single" w:color="auto" w:sz="6" w:space="1"/>
              </w:pBdr>
              <w:tabs>
                <w:tab w:val="center" w:pos="4153"/>
                <w:tab w:val="right" w:pos="8306"/>
              </w:tabs>
              <w:snapToGrid w:val="0"/>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0515-68661002，杨老师：13770176940/13905109103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noWrap w:val="0"/>
            <w:vAlign w:val="center"/>
          </w:tcPr>
          <w:p>
            <w:pPr>
              <w:pBdr>
                <w:bottom w:val="single" w:color="auto" w:sz="6" w:space="1"/>
              </w:pBdr>
              <w:tabs>
                <w:tab w:val="center" w:pos="4153"/>
                <w:tab w:val="right" w:pos="8306"/>
              </w:tabs>
              <w:snapToGrid w:val="0"/>
              <w:spacing w:line="5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zh-CN"/>
              </w:rPr>
              <w:t>联系地址</w:t>
            </w:r>
          </w:p>
        </w:tc>
        <w:tc>
          <w:tcPr>
            <w:tcW w:w="7661" w:type="dxa"/>
            <w:noWrap w:val="0"/>
            <w:vAlign w:val="top"/>
          </w:tcPr>
          <w:p>
            <w:pPr>
              <w:pBdr>
                <w:bottom w:val="single" w:color="auto" w:sz="6" w:space="1"/>
              </w:pBdr>
              <w:tabs>
                <w:tab w:val="center" w:pos="4153"/>
                <w:tab w:val="right" w:pos="8306"/>
              </w:tabs>
              <w:snapToGrid w:val="0"/>
              <w:spacing w:line="50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江苏省盐城技师学院文港中路校区（盐城市文港中路128号）研发楼1001室</w:t>
            </w:r>
          </w:p>
        </w:tc>
      </w:tr>
    </w:tbl>
    <w:p>
      <w:pPr>
        <w:pStyle w:val="11"/>
        <w:ind w:left="0" w:leftChars="0" w:firstLine="0" w:firstLineChars="0"/>
        <w:rPr>
          <w:rFonts w:hint="eastAsia"/>
          <w:lang w:eastAsia="zh-CN"/>
        </w:rPr>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FlYjZmNWE5NjcyMmNiZThiNWEwY2MzYjg3NDBkZTAifQ=="/>
  </w:docVars>
  <w:rsids>
    <w:rsidRoot w:val="2420793E"/>
    <w:rsid w:val="00014629"/>
    <w:rsid w:val="00015D30"/>
    <w:rsid w:val="00045388"/>
    <w:rsid w:val="0007703A"/>
    <w:rsid w:val="000E101C"/>
    <w:rsid w:val="0010282F"/>
    <w:rsid w:val="00142A3A"/>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54E7C"/>
    <w:rsid w:val="0097590E"/>
    <w:rsid w:val="009F26B6"/>
    <w:rsid w:val="009F7E80"/>
    <w:rsid w:val="00A3588B"/>
    <w:rsid w:val="00A35E9E"/>
    <w:rsid w:val="00AD4EEA"/>
    <w:rsid w:val="00AF68FE"/>
    <w:rsid w:val="00B308FD"/>
    <w:rsid w:val="00C212FD"/>
    <w:rsid w:val="00C44A09"/>
    <w:rsid w:val="00C6546A"/>
    <w:rsid w:val="00C7012C"/>
    <w:rsid w:val="00C703AA"/>
    <w:rsid w:val="00C87012"/>
    <w:rsid w:val="00CD1440"/>
    <w:rsid w:val="00CE5D2D"/>
    <w:rsid w:val="00D75FC1"/>
    <w:rsid w:val="00DD68DF"/>
    <w:rsid w:val="00E1612E"/>
    <w:rsid w:val="00E35680"/>
    <w:rsid w:val="00E6011E"/>
    <w:rsid w:val="00E6468D"/>
    <w:rsid w:val="00E81AF3"/>
    <w:rsid w:val="00E907A5"/>
    <w:rsid w:val="00E911E8"/>
    <w:rsid w:val="00EE1F55"/>
    <w:rsid w:val="00EE78DE"/>
    <w:rsid w:val="00F27EDE"/>
    <w:rsid w:val="00FD74C7"/>
    <w:rsid w:val="010E5562"/>
    <w:rsid w:val="01426060"/>
    <w:rsid w:val="01734399"/>
    <w:rsid w:val="01754E63"/>
    <w:rsid w:val="02430947"/>
    <w:rsid w:val="02BB486C"/>
    <w:rsid w:val="03055062"/>
    <w:rsid w:val="031E1220"/>
    <w:rsid w:val="035A33CF"/>
    <w:rsid w:val="03784BFE"/>
    <w:rsid w:val="038A0139"/>
    <w:rsid w:val="039369CC"/>
    <w:rsid w:val="044A21C6"/>
    <w:rsid w:val="04736778"/>
    <w:rsid w:val="04C12B4C"/>
    <w:rsid w:val="04C90062"/>
    <w:rsid w:val="04CD3D0D"/>
    <w:rsid w:val="04EF3DB4"/>
    <w:rsid w:val="051004D3"/>
    <w:rsid w:val="05272FAA"/>
    <w:rsid w:val="055A2B8C"/>
    <w:rsid w:val="05787881"/>
    <w:rsid w:val="05B15802"/>
    <w:rsid w:val="05C0312F"/>
    <w:rsid w:val="05CB22E3"/>
    <w:rsid w:val="05CC5F7C"/>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98C6F78"/>
    <w:rsid w:val="09A256F9"/>
    <w:rsid w:val="0A2658EF"/>
    <w:rsid w:val="0A8E12D7"/>
    <w:rsid w:val="0AEB2D57"/>
    <w:rsid w:val="0AFC45D4"/>
    <w:rsid w:val="0B404762"/>
    <w:rsid w:val="0B4F3105"/>
    <w:rsid w:val="0B62067E"/>
    <w:rsid w:val="0B626DEC"/>
    <w:rsid w:val="0B855F7E"/>
    <w:rsid w:val="0B9A0FFE"/>
    <w:rsid w:val="0C206B85"/>
    <w:rsid w:val="0C32647A"/>
    <w:rsid w:val="0C3D62CB"/>
    <w:rsid w:val="0C525545"/>
    <w:rsid w:val="0C743361"/>
    <w:rsid w:val="0D8536A8"/>
    <w:rsid w:val="0DA5454E"/>
    <w:rsid w:val="0DA75991"/>
    <w:rsid w:val="0EDD719A"/>
    <w:rsid w:val="0EED3DB3"/>
    <w:rsid w:val="0F5136C0"/>
    <w:rsid w:val="0F78360A"/>
    <w:rsid w:val="0F785EC3"/>
    <w:rsid w:val="0FA34244"/>
    <w:rsid w:val="0FC76146"/>
    <w:rsid w:val="1034005E"/>
    <w:rsid w:val="10486C99"/>
    <w:rsid w:val="10A02C4D"/>
    <w:rsid w:val="125D6101"/>
    <w:rsid w:val="126512A2"/>
    <w:rsid w:val="1271275F"/>
    <w:rsid w:val="12B94D24"/>
    <w:rsid w:val="12C23695"/>
    <w:rsid w:val="131953C2"/>
    <w:rsid w:val="13863FCA"/>
    <w:rsid w:val="1387289B"/>
    <w:rsid w:val="13894C62"/>
    <w:rsid w:val="138A3CBD"/>
    <w:rsid w:val="138F6B73"/>
    <w:rsid w:val="139C21FD"/>
    <w:rsid w:val="13B33BAE"/>
    <w:rsid w:val="13BB045D"/>
    <w:rsid w:val="13BF20EE"/>
    <w:rsid w:val="13DD3993"/>
    <w:rsid w:val="141A7C53"/>
    <w:rsid w:val="141E3E24"/>
    <w:rsid w:val="145B0730"/>
    <w:rsid w:val="147927F8"/>
    <w:rsid w:val="148A50A1"/>
    <w:rsid w:val="14A6013D"/>
    <w:rsid w:val="14B61A22"/>
    <w:rsid w:val="14DD586C"/>
    <w:rsid w:val="14F204A8"/>
    <w:rsid w:val="155F42E2"/>
    <w:rsid w:val="156D481A"/>
    <w:rsid w:val="15D0174A"/>
    <w:rsid w:val="16026B26"/>
    <w:rsid w:val="161A2398"/>
    <w:rsid w:val="16D60D5C"/>
    <w:rsid w:val="16FA1EEA"/>
    <w:rsid w:val="17095030"/>
    <w:rsid w:val="172356C7"/>
    <w:rsid w:val="178F4D9A"/>
    <w:rsid w:val="17C36D72"/>
    <w:rsid w:val="18181157"/>
    <w:rsid w:val="18352C7A"/>
    <w:rsid w:val="18707FE4"/>
    <w:rsid w:val="187679A2"/>
    <w:rsid w:val="188046C1"/>
    <w:rsid w:val="188C0F12"/>
    <w:rsid w:val="18C745AB"/>
    <w:rsid w:val="193534EA"/>
    <w:rsid w:val="1949555F"/>
    <w:rsid w:val="1989311A"/>
    <w:rsid w:val="19D42B02"/>
    <w:rsid w:val="1A0033A8"/>
    <w:rsid w:val="1A2133EC"/>
    <w:rsid w:val="1A2E19C8"/>
    <w:rsid w:val="1A745C61"/>
    <w:rsid w:val="1A7C6625"/>
    <w:rsid w:val="1ACF0032"/>
    <w:rsid w:val="1B1D036B"/>
    <w:rsid w:val="1B370055"/>
    <w:rsid w:val="1C147D02"/>
    <w:rsid w:val="1C6537A6"/>
    <w:rsid w:val="1CB94466"/>
    <w:rsid w:val="1CE37779"/>
    <w:rsid w:val="1D027E40"/>
    <w:rsid w:val="1D4045E5"/>
    <w:rsid w:val="1DDC4D25"/>
    <w:rsid w:val="1E1823DE"/>
    <w:rsid w:val="1E4C0DD8"/>
    <w:rsid w:val="1E5C4D8E"/>
    <w:rsid w:val="1E9F10E2"/>
    <w:rsid w:val="1EB96B5B"/>
    <w:rsid w:val="1F7F27F6"/>
    <w:rsid w:val="1FD7766D"/>
    <w:rsid w:val="20126BF3"/>
    <w:rsid w:val="20134F85"/>
    <w:rsid w:val="20530463"/>
    <w:rsid w:val="20FD07C0"/>
    <w:rsid w:val="21645F4F"/>
    <w:rsid w:val="216E48EC"/>
    <w:rsid w:val="21D15555"/>
    <w:rsid w:val="21EB2A6B"/>
    <w:rsid w:val="229077BE"/>
    <w:rsid w:val="231A2EF3"/>
    <w:rsid w:val="23404E34"/>
    <w:rsid w:val="23D90E3E"/>
    <w:rsid w:val="2420793E"/>
    <w:rsid w:val="242F2957"/>
    <w:rsid w:val="2469293B"/>
    <w:rsid w:val="249E2FB0"/>
    <w:rsid w:val="24B37275"/>
    <w:rsid w:val="24C34269"/>
    <w:rsid w:val="24D36639"/>
    <w:rsid w:val="24E15C47"/>
    <w:rsid w:val="24E44812"/>
    <w:rsid w:val="24EC6EFB"/>
    <w:rsid w:val="24F91061"/>
    <w:rsid w:val="25241D99"/>
    <w:rsid w:val="25606A13"/>
    <w:rsid w:val="2595288B"/>
    <w:rsid w:val="259535AB"/>
    <w:rsid w:val="25BD36CE"/>
    <w:rsid w:val="25C27D0F"/>
    <w:rsid w:val="263372DB"/>
    <w:rsid w:val="26450D03"/>
    <w:rsid w:val="26B462D2"/>
    <w:rsid w:val="2714080D"/>
    <w:rsid w:val="272E76AB"/>
    <w:rsid w:val="27887700"/>
    <w:rsid w:val="27892718"/>
    <w:rsid w:val="27B73D55"/>
    <w:rsid w:val="28627E33"/>
    <w:rsid w:val="28A616B2"/>
    <w:rsid w:val="28D16B63"/>
    <w:rsid w:val="28E921CD"/>
    <w:rsid w:val="2934394F"/>
    <w:rsid w:val="293C3219"/>
    <w:rsid w:val="294E6E47"/>
    <w:rsid w:val="2958662D"/>
    <w:rsid w:val="296E1849"/>
    <w:rsid w:val="296E617B"/>
    <w:rsid w:val="29D03263"/>
    <w:rsid w:val="2A740C33"/>
    <w:rsid w:val="2AA75F42"/>
    <w:rsid w:val="2B650E2C"/>
    <w:rsid w:val="2B874AD4"/>
    <w:rsid w:val="2BA12CCB"/>
    <w:rsid w:val="2BF253AE"/>
    <w:rsid w:val="2BF95B4F"/>
    <w:rsid w:val="2C225919"/>
    <w:rsid w:val="2C430B45"/>
    <w:rsid w:val="2C9629A2"/>
    <w:rsid w:val="2C986EF9"/>
    <w:rsid w:val="2CB445B7"/>
    <w:rsid w:val="2D0A78E6"/>
    <w:rsid w:val="2D1D1E0E"/>
    <w:rsid w:val="2D247B91"/>
    <w:rsid w:val="2D3A397F"/>
    <w:rsid w:val="2DB155CE"/>
    <w:rsid w:val="2DF824AE"/>
    <w:rsid w:val="2E170254"/>
    <w:rsid w:val="2E247C4F"/>
    <w:rsid w:val="2E3C2994"/>
    <w:rsid w:val="2E9D6725"/>
    <w:rsid w:val="2F322610"/>
    <w:rsid w:val="2FAD1F36"/>
    <w:rsid w:val="2FBF031F"/>
    <w:rsid w:val="303C58FE"/>
    <w:rsid w:val="305B42AA"/>
    <w:rsid w:val="30883E6E"/>
    <w:rsid w:val="308D17A0"/>
    <w:rsid w:val="30B72DB4"/>
    <w:rsid w:val="30C73688"/>
    <w:rsid w:val="30D6335C"/>
    <w:rsid w:val="30F938C5"/>
    <w:rsid w:val="30FF7DE4"/>
    <w:rsid w:val="3152597F"/>
    <w:rsid w:val="31721C46"/>
    <w:rsid w:val="31B501BF"/>
    <w:rsid w:val="31E745BA"/>
    <w:rsid w:val="31F604A7"/>
    <w:rsid w:val="323B7C10"/>
    <w:rsid w:val="32C5547A"/>
    <w:rsid w:val="32F75CED"/>
    <w:rsid w:val="33297F74"/>
    <w:rsid w:val="3348262D"/>
    <w:rsid w:val="334912C7"/>
    <w:rsid w:val="336C1CB6"/>
    <w:rsid w:val="33AE7E7D"/>
    <w:rsid w:val="34080B06"/>
    <w:rsid w:val="340D52DD"/>
    <w:rsid w:val="342740DE"/>
    <w:rsid w:val="34CC6B8D"/>
    <w:rsid w:val="34CF498D"/>
    <w:rsid w:val="34F816AB"/>
    <w:rsid w:val="35005586"/>
    <w:rsid w:val="350D6F38"/>
    <w:rsid w:val="35247A5F"/>
    <w:rsid w:val="35365D30"/>
    <w:rsid w:val="35383D67"/>
    <w:rsid w:val="35AD416C"/>
    <w:rsid w:val="35C14B08"/>
    <w:rsid w:val="35F90162"/>
    <w:rsid w:val="35FD18B8"/>
    <w:rsid w:val="36140B55"/>
    <w:rsid w:val="3628068A"/>
    <w:rsid w:val="36781BE1"/>
    <w:rsid w:val="36883AE4"/>
    <w:rsid w:val="36CD5879"/>
    <w:rsid w:val="36E80731"/>
    <w:rsid w:val="370C49F9"/>
    <w:rsid w:val="371E16DF"/>
    <w:rsid w:val="37314630"/>
    <w:rsid w:val="374078C2"/>
    <w:rsid w:val="377B7619"/>
    <w:rsid w:val="37A064B7"/>
    <w:rsid w:val="37A23E34"/>
    <w:rsid w:val="37C67FF9"/>
    <w:rsid w:val="37E12459"/>
    <w:rsid w:val="37F06B4E"/>
    <w:rsid w:val="382A637D"/>
    <w:rsid w:val="383A2923"/>
    <w:rsid w:val="383A70C8"/>
    <w:rsid w:val="38BB2241"/>
    <w:rsid w:val="38E14EED"/>
    <w:rsid w:val="38EA43CB"/>
    <w:rsid w:val="38FF2799"/>
    <w:rsid w:val="394F79A9"/>
    <w:rsid w:val="39555533"/>
    <w:rsid w:val="39A26DC9"/>
    <w:rsid w:val="39DA6378"/>
    <w:rsid w:val="3A114339"/>
    <w:rsid w:val="3A7062E8"/>
    <w:rsid w:val="3A9A5E8E"/>
    <w:rsid w:val="3AAB5F01"/>
    <w:rsid w:val="3AC60452"/>
    <w:rsid w:val="3B4B3FA6"/>
    <w:rsid w:val="3B4D1476"/>
    <w:rsid w:val="3B6162F8"/>
    <w:rsid w:val="3B692B8D"/>
    <w:rsid w:val="3B721FC2"/>
    <w:rsid w:val="3B855F46"/>
    <w:rsid w:val="3BF50F4C"/>
    <w:rsid w:val="3C143E0C"/>
    <w:rsid w:val="3C1F738B"/>
    <w:rsid w:val="3C7C0A1B"/>
    <w:rsid w:val="3CED2288"/>
    <w:rsid w:val="3D0E5CF3"/>
    <w:rsid w:val="3D2D679A"/>
    <w:rsid w:val="3D411D83"/>
    <w:rsid w:val="3D791D7E"/>
    <w:rsid w:val="3D7F4F0B"/>
    <w:rsid w:val="3DA03B15"/>
    <w:rsid w:val="3DA430C6"/>
    <w:rsid w:val="3DD37F65"/>
    <w:rsid w:val="3DD95AFA"/>
    <w:rsid w:val="3DFF1EF8"/>
    <w:rsid w:val="3E0F4079"/>
    <w:rsid w:val="3E406FB9"/>
    <w:rsid w:val="3EA432EA"/>
    <w:rsid w:val="3EC83C00"/>
    <w:rsid w:val="3ED05521"/>
    <w:rsid w:val="3EF23139"/>
    <w:rsid w:val="3F0262BC"/>
    <w:rsid w:val="3F1818E5"/>
    <w:rsid w:val="3F787D93"/>
    <w:rsid w:val="3FFB68F7"/>
    <w:rsid w:val="40075866"/>
    <w:rsid w:val="403961EA"/>
    <w:rsid w:val="40F90C7F"/>
    <w:rsid w:val="411357D5"/>
    <w:rsid w:val="413540A2"/>
    <w:rsid w:val="41951495"/>
    <w:rsid w:val="42350A8C"/>
    <w:rsid w:val="42536595"/>
    <w:rsid w:val="42AA1947"/>
    <w:rsid w:val="42B82C2B"/>
    <w:rsid w:val="42FE74B6"/>
    <w:rsid w:val="439D1A95"/>
    <w:rsid w:val="43FB6843"/>
    <w:rsid w:val="445F5174"/>
    <w:rsid w:val="447F785B"/>
    <w:rsid w:val="44A658FB"/>
    <w:rsid w:val="44B03BC9"/>
    <w:rsid w:val="44B16CFF"/>
    <w:rsid w:val="44D3295F"/>
    <w:rsid w:val="45C565B0"/>
    <w:rsid w:val="45D26FD9"/>
    <w:rsid w:val="45DB79DB"/>
    <w:rsid w:val="45F85DE8"/>
    <w:rsid w:val="467E7D51"/>
    <w:rsid w:val="468D0324"/>
    <w:rsid w:val="46CB6C09"/>
    <w:rsid w:val="47183ACB"/>
    <w:rsid w:val="473A4A33"/>
    <w:rsid w:val="475E2D19"/>
    <w:rsid w:val="47AC3932"/>
    <w:rsid w:val="47DD3088"/>
    <w:rsid w:val="47EB0CDC"/>
    <w:rsid w:val="48211BC8"/>
    <w:rsid w:val="482C68E1"/>
    <w:rsid w:val="483E69C5"/>
    <w:rsid w:val="487124FF"/>
    <w:rsid w:val="489C088D"/>
    <w:rsid w:val="48BB2526"/>
    <w:rsid w:val="48E51AD0"/>
    <w:rsid w:val="48F817EB"/>
    <w:rsid w:val="49114B61"/>
    <w:rsid w:val="491C0BE3"/>
    <w:rsid w:val="496679E4"/>
    <w:rsid w:val="498B47F1"/>
    <w:rsid w:val="4A0952BB"/>
    <w:rsid w:val="4A300DBD"/>
    <w:rsid w:val="4A3D77C0"/>
    <w:rsid w:val="4AA07385"/>
    <w:rsid w:val="4AD32059"/>
    <w:rsid w:val="4B183B51"/>
    <w:rsid w:val="4B196F1F"/>
    <w:rsid w:val="4B1C2C75"/>
    <w:rsid w:val="4B380954"/>
    <w:rsid w:val="4B536996"/>
    <w:rsid w:val="4B9058EB"/>
    <w:rsid w:val="4BFD7E37"/>
    <w:rsid w:val="4C702BBA"/>
    <w:rsid w:val="4C805C6D"/>
    <w:rsid w:val="4CCE246C"/>
    <w:rsid w:val="4CD769BC"/>
    <w:rsid w:val="4CFB3FC6"/>
    <w:rsid w:val="4D2558F1"/>
    <w:rsid w:val="4D752DFF"/>
    <w:rsid w:val="4D7B1CD8"/>
    <w:rsid w:val="4DE62960"/>
    <w:rsid w:val="4E100D3C"/>
    <w:rsid w:val="4E555139"/>
    <w:rsid w:val="4E6526E6"/>
    <w:rsid w:val="4E93279E"/>
    <w:rsid w:val="4F034C32"/>
    <w:rsid w:val="4F5308A7"/>
    <w:rsid w:val="4F74653C"/>
    <w:rsid w:val="4FC15BBC"/>
    <w:rsid w:val="4FDD24ED"/>
    <w:rsid w:val="4FDD3E90"/>
    <w:rsid w:val="5037777B"/>
    <w:rsid w:val="50731938"/>
    <w:rsid w:val="51361776"/>
    <w:rsid w:val="51600B1E"/>
    <w:rsid w:val="51A364AC"/>
    <w:rsid w:val="51BA08B0"/>
    <w:rsid w:val="51C02C5A"/>
    <w:rsid w:val="51C27A83"/>
    <w:rsid w:val="51CE58E5"/>
    <w:rsid w:val="52AC24D9"/>
    <w:rsid w:val="52E56056"/>
    <w:rsid w:val="530C3F70"/>
    <w:rsid w:val="53AB3DE1"/>
    <w:rsid w:val="53B27B60"/>
    <w:rsid w:val="53B75D03"/>
    <w:rsid w:val="53D308F4"/>
    <w:rsid w:val="53D54629"/>
    <w:rsid w:val="542A14B9"/>
    <w:rsid w:val="543E4348"/>
    <w:rsid w:val="54490C19"/>
    <w:rsid w:val="549417C5"/>
    <w:rsid w:val="54BF0B4A"/>
    <w:rsid w:val="54CA69C6"/>
    <w:rsid w:val="557C0A69"/>
    <w:rsid w:val="5582751F"/>
    <w:rsid w:val="55891293"/>
    <w:rsid w:val="55891C35"/>
    <w:rsid w:val="559F0AA9"/>
    <w:rsid w:val="55F34B7A"/>
    <w:rsid w:val="564969BE"/>
    <w:rsid w:val="56513D5F"/>
    <w:rsid w:val="56BA75E8"/>
    <w:rsid w:val="56D25390"/>
    <w:rsid w:val="56FA6F90"/>
    <w:rsid w:val="57250D68"/>
    <w:rsid w:val="573D0770"/>
    <w:rsid w:val="5749378E"/>
    <w:rsid w:val="57C23453"/>
    <w:rsid w:val="58883FF1"/>
    <w:rsid w:val="58C739F2"/>
    <w:rsid w:val="58E63AB7"/>
    <w:rsid w:val="592A2468"/>
    <w:rsid w:val="594F6C2F"/>
    <w:rsid w:val="595A4C77"/>
    <w:rsid w:val="596C18DF"/>
    <w:rsid w:val="59723D4E"/>
    <w:rsid w:val="59A01DC1"/>
    <w:rsid w:val="59DA25F8"/>
    <w:rsid w:val="59E14449"/>
    <w:rsid w:val="59F33D20"/>
    <w:rsid w:val="5A0C0BD4"/>
    <w:rsid w:val="5A462418"/>
    <w:rsid w:val="5A5B4BA8"/>
    <w:rsid w:val="5AE67CB2"/>
    <w:rsid w:val="5B32399A"/>
    <w:rsid w:val="5BAB7008"/>
    <w:rsid w:val="5BC26D60"/>
    <w:rsid w:val="5BC364B7"/>
    <w:rsid w:val="5C114079"/>
    <w:rsid w:val="5C9751C1"/>
    <w:rsid w:val="5CB155B2"/>
    <w:rsid w:val="5CF86948"/>
    <w:rsid w:val="5D303546"/>
    <w:rsid w:val="5D882094"/>
    <w:rsid w:val="5D99096B"/>
    <w:rsid w:val="5DBE5382"/>
    <w:rsid w:val="5E104977"/>
    <w:rsid w:val="5E126555"/>
    <w:rsid w:val="5E1C4181"/>
    <w:rsid w:val="5E5516EB"/>
    <w:rsid w:val="5E8A480E"/>
    <w:rsid w:val="5EB24D06"/>
    <w:rsid w:val="5EC00FDE"/>
    <w:rsid w:val="5F213218"/>
    <w:rsid w:val="5F72732E"/>
    <w:rsid w:val="5F844C6F"/>
    <w:rsid w:val="5FB37032"/>
    <w:rsid w:val="5FC4778E"/>
    <w:rsid w:val="601A2AB0"/>
    <w:rsid w:val="604E57F2"/>
    <w:rsid w:val="608F5787"/>
    <w:rsid w:val="60B54500"/>
    <w:rsid w:val="610C0AF8"/>
    <w:rsid w:val="61C25220"/>
    <w:rsid w:val="624F051E"/>
    <w:rsid w:val="625A0DB8"/>
    <w:rsid w:val="62CD2233"/>
    <w:rsid w:val="62D500B6"/>
    <w:rsid w:val="62D82626"/>
    <w:rsid w:val="62E6383E"/>
    <w:rsid w:val="63413B72"/>
    <w:rsid w:val="64140E68"/>
    <w:rsid w:val="64571B9A"/>
    <w:rsid w:val="646E1A2B"/>
    <w:rsid w:val="64A5749D"/>
    <w:rsid w:val="64DD2238"/>
    <w:rsid w:val="657813C0"/>
    <w:rsid w:val="658606CA"/>
    <w:rsid w:val="65D95392"/>
    <w:rsid w:val="66445C8F"/>
    <w:rsid w:val="668A38E9"/>
    <w:rsid w:val="66A07473"/>
    <w:rsid w:val="66BA09AB"/>
    <w:rsid w:val="67831A61"/>
    <w:rsid w:val="67AF54A4"/>
    <w:rsid w:val="688E2BC4"/>
    <w:rsid w:val="68A00632"/>
    <w:rsid w:val="68AF4662"/>
    <w:rsid w:val="68FB3B7E"/>
    <w:rsid w:val="690762AF"/>
    <w:rsid w:val="694A71C2"/>
    <w:rsid w:val="695E3521"/>
    <w:rsid w:val="69A0054D"/>
    <w:rsid w:val="69F80F2F"/>
    <w:rsid w:val="6A68473D"/>
    <w:rsid w:val="6A77390C"/>
    <w:rsid w:val="6AF3713C"/>
    <w:rsid w:val="6B376C34"/>
    <w:rsid w:val="6BA87F93"/>
    <w:rsid w:val="6BD84A7F"/>
    <w:rsid w:val="6CC02D04"/>
    <w:rsid w:val="6CD068B4"/>
    <w:rsid w:val="6D390973"/>
    <w:rsid w:val="6D441F7E"/>
    <w:rsid w:val="6D6D5F4E"/>
    <w:rsid w:val="6D886EFA"/>
    <w:rsid w:val="6DB854D6"/>
    <w:rsid w:val="6E4008B0"/>
    <w:rsid w:val="6E911C2F"/>
    <w:rsid w:val="6EB02BF7"/>
    <w:rsid w:val="6EBF11EF"/>
    <w:rsid w:val="6F4F1DE3"/>
    <w:rsid w:val="6F93454C"/>
    <w:rsid w:val="6FB7208B"/>
    <w:rsid w:val="7067211B"/>
    <w:rsid w:val="70A51511"/>
    <w:rsid w:val="70DB4796"/>
    <w:rsid w:val="70E826BC"/>
    <w:rsid w:val="710F6F32"/>
    <w:rsid w:val="71512C49"/>
    <w:rsid w:val="71661C44"/>
    <w:rsid w:val="717E223A"/>
    <w:rsid w:val="717F00C4"/>
    <w:rsid w:val="71B1120F"/>
    <w:rsid w:val="71D64F7C"/>
    <w:rsid w:val="71E0306E"/>
    <w:rsid w:val="71F54C9C"/>
    <w:rsid w:val="7254748C"/>
    <w:rsid w:val="72561178"/>
    <w:rsid w:val="7312134A"/>
    <w:rsid w:val="736C170B"/>
    <w:rsid w:val="739D7F65"/>
    <w:rsid w:val="73BA6DE5"/>
    <w:rsid w:val="73E56406"/>
    <w:rsid w:val="75295C38"/>
    <w:rsid w:val="757070A1"/>
    <w:rsid w:val="75814B80"/>
    <w:rsid w:val="7582710B"/>
    <w:rsid w:val="75C54221"/>
    <w:rsid w:val="75CD3DB4"/>
    <w:rsid w:val="75F34E22"/>
    <w:rsid w:val="76503DEE"/>
    <w:rsid w:val="77090A3A"/>
    <w:rsid w:val="77386591"/>
    <w:rsid w:val="773C77FD"/>
    <w:rsid w:val="774D7065"/>
    <w:rsid w:val="777827AE"/>
    <w:rsid w:val="777D7660"/>
    <w:rsid w:val="77A2789E"/>
    <w:rsid w:val="780939AE"/>
    <w:rsid w:val="7810382D"/>
    <w:rsid w:val="785C5927"/>
    <w:rsid w:val="78BD3664"/>
    <w:rsid w:val="790413FD"/>
    <w:rsid w:val="79315225"/>
    <w:rsid w:val="79650DEE"/>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167086"/>
    <w:rsid w:val="7B3C50D0"/>
    <w:rsid w:val="7B6125D2"/>
    <w:rsid w:val="7B722606"/>
    <w:rsid w:val="7BD61B09"/>
    <w:rsid w:val="7C335EBE"/>
    <w:rsid w:val="7C3F1C90"/>
    <w:rsid w:val="7C4B6133"/>
    <w:rsid w:val="7CC462BF"/>
    <w:rsid w:val="7D263586"/>
    <w:rsid w:val="7D341E05"/>
    <w:rsid w:val="7D783C20"/>
    <w:rsid w:val="7DAA2184"/>
    <w:rsid w:val="7DE878E7"/>
    <w:rsid w:val="7DFA7A18"/>
    <w:rsid w:val="7E5B7F26"/>
    <w:rsid w:val="7E9B6F8B"/>
    <w:rsid w:val="7EA45AFC"/>
    <w:rsid w:val="7EE215A1"/>
    <w:rsid w:val="7EE8035F"/>
    <w:rsid w:val="7F0A6F88"/>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4"/>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6">
    <w:name w:val="heading 3"/>
    <w:basedOn w:val="1"/>
    <w:next w:val="7"/>
    <w:qFormat/>
    <w:locked/>
    <w:uiPriority w:val="0"/>
    <w:pPr>
      <w:keepNext/>
      <w:keepLines/>
      <w:spacing w:before="260" w:after="260" w:line="416" w:lineRule="auto"/>
      <w:outlineLvl w:val="2"/>
    </w:pPr>
    <w:rPr>
      <w:b/>
      <w:bCs/>
      <w:sz w:val="32"/>
      <w:szCs w:val="32"/>
    </w:rPr>
  </w:style>
  <w:style w:type="paragraph" w:styleId="8">
    <w:name w:val="heading 4"/>
    <w:basedOn w:val="1"/>
    <w:next w:val="1"/>
    <w:link w:val="44"/>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next w:val="3"/>
    <w:qFormat/>
    <w:uiPriority w:val="0"/>
    <w:pPr>
      <w:autoSpaceDE w:val="0"/>
      <w:autoSpaceDN w:val="0"/>
      <w:adjustRightInd w:val="0"/>
      <w:jc w:val="left"/>
    </w:pPr>
    <w:rPr>
      <w:rFonts w:ascii="宋体" w:hAnsi="Calibri" w:eastAsia="宋体" w:cs="宋体"/>
      <w:color w:val="000000"/>
      <w:kern w:val="0"/>
      <w:sz w:val="24"/>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Normal Indent"/>
    <w:basedOn w:val="1"/>
    <w:qFormat/>
    <w:uiPriority w:val="0"/>
    <w:pPr>
      <w:ind w:firstLine="420"/>
    </w:pPr>
  </w:style>
  <w:style w:type="paragraph" w:styleId="9">
    <w:name w:val="Body Text"/>
    <w:basedOn w:val="1"/>
    <w:link w:val="22"/>
    <w:qFormat/>
    <w:uiPriority w:val="99"/>
    <w:pPr>
      <w:spacing w:after="120"/>
    </w:pPr>
  </w:style>
  <w:style w:type="paragraph" w:styleId="10">
    <w:name w:val="Body Text Indent"/>
    <w:basedOn w:val="1"/>
    <w:link w:val="25"/>
    <w:qFormat/>
    <w:uiPriority w:val="99"/>
    <w:pPr>
      <w:ind w:left="-105" w:firstLine="232" w:firstLineChars="232"/>
    </w:pPr>
    <w:rPr>
      <w:rFonts w:eastAsia="仿宋_GB2312"/>
      <w:sz w:val="32"/>
      <w:szCs w:val="32"/>
    </w:rPr>
  </w:style>
  <w:style w:type="paragraph" w:styleId="11">
    <w:name w:val="Block Text"/>
    <w:basedOn w:val="1"/>
    <w:qFormat/>
    <w:uiPriority w:val="99"/>
    <w:pPr>
      <w:spacing w:after="120"/>
      <w:ind w:left="1440" w:leftChars="700" w:right="1440" w:rightChars="700"/>
    </w:pPr>
  </w:style>
  <w:style w:type="paragraph" w:styleId="12">
    <w:name w:val="Plain Text"/>
    <w:basedOn w:val="1"/>
    <w:qFormat/>
    <w:uiPriority w:val="0"/>
    <w:pPr>
      <w:widowControl/>
      <w:overflowPunct w:val="0"/>
      <w:autoSpaceDE w:val="0"/>
      <w:autoSpaceDN w:val="0"/>
      <w:adjustRightInd w:val="0"/>
      <w:jc w:val="left"/>
      <w:textAlignment w:val="baseline"/>
    </w:pPr>
    <w:rPr>
      <w:rFonts w:ascii="宋体" w:hAnsi="Courier New"/>
    </w:rPr>
  </w:style>
  <w:style w:type="paragraph" w:styleId="13">
    <w:name w:val="Balloon Text"/>
    <w:basedOn w:val="1"/>
    <w:link w:val="26"/>
    <w:semiHidden/>
    <w:qFormat/>
    <w:uiPriority w:val="99"/>
    <w:rPr>
      <w:sz w:val="18"/>
      <w:szCs w:val="18"/>
    </w:rPr>
  </w:style>
  <w:style w:type="paragraph" w:styleId="14">
    <w:name w:val="footer"/>
    <w:basedOn w:val="1"/>
    <w:link w:val="27"/>
    <w:qFormat/>
    <w:uiPriority w:val="99"/>
    <w:pPr>
      <w:tabs>
        <w:tab w:val="center" w:pos="4153"/>
        <w:tab w:val="right" w:pos="8306"/>
      </w:tabs>
      <w:snapToGrid w:val="0"/>
      <w:jc w:val="left"/>
    </w:pPr>
    <w:rPr>
      <w:sz w:val="18"/>
      <w:szCs w:val="18"/>
    </w:rPr>
  </w:style>
  <w:style w:type="paragraph" w:styleId="15">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unhideWhenUsed/>
    <w:qFormat/>
    <w:uiPriority w:val="0"/>
    <w:pPr>
      <w:widowControl/>
      <w:jc w:val="left"/>
    </w:pPr>
    <w:rPr>
      <w:rFonts w:ascii="宋体" w:hAnsi="宋体" w:cs="宋体"/>
      <w:kern w:val="0"/>
      <w:sz w:val="24"/>
    </w:rPr>
  </w:style>
  <w:style w:type="paragraph" w:styleId="17">
    <w:name w:val="Body Text First Indent"/>
    <w:basedOn w:val="9"/>
    <w:link w:val="23"/>
    <w:qFormat/>
    <w:uiPriority w:val="99"/>
    <w:pPr>
      <w:ind w:firstLine="420" w:firstLineChars="100"/>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qFormat/>
    <w:uiPriority w:val="99"/>
    <w:rPr>
      <w:color w:val="auto"/>
      <w:u w:val="single"/>
    </w:rPr>
  </w:style>
  <w:style w:type="character" w:customStyle="1" w:styleId="22">
    <w:name w:val="正文文本 Char"/>
    <w:link w:val="9"/>
    <w:semiHidden/>
    <w:qFormat/>
    <w:uiPriority w:val="99"/>
    <w:rPr>
      <w:rFonts w:cs="Calibri"/>
      <w:szCs w:val="21"/>
    </w:rPr>
  </w:style>
  <w:style w:type="character" w:customStyle="1" w:styleId="23">
    <w:name w:val="正文首行缩进 Char"/>
    <w:link w:val="17"/>
    <w:semiHidden/>
    <w:qFormat/>
    <w:uiPriority w:val="99"/>
    <w:rPr>
      <w:rFonts w:cs="Calibri"/>
      <w:szCs w:val="21"/>
    </w:rPr>
  </w:style>
  <w:style w:type="character" w:customStyle="1" w:styleId="24">
    <w:name w:val="标题 1 Char"/>
    <w:link w:val="4"/>
    <w:qFormat/>
    <w:uiPriority w:val="9"/>
    <w:rPr>
      <w:rFonts w:cs="Calibri"/>
      <w:b/>
      <w:bCs/>
      <w:kern w:val="44"/>
      <w:sz w:val="44"/>
      <w:szCs w:val="44"/>
    </w:rPr>
  </w:style>
  <w:style w:type="character" w:customStyle="1" w:styleId="25">
    <w:name w:val="正文文本缩进 Char"/>
    <w:link w:val="10"/>
    <w:semiHidden/>
    <w:qFormat/>
    <w:uiPriority w:val="99"/>
    <w:rPr>
      <w:rFonts w:cs="Calibri"/>
      <w:szCs w:val="21"/>
    </w:rPr>
  </w:style>
  <w:style w:type="character" w:customStyle="1" w:styleId="26">
    <w:name w:val="批注框文本 Char"/>
    <w:link w:val="13"/>
    <w:qFormat/>
    <w:locked/>
    <w:uiPriority w:val="99"/>
    <w:rPr>
      <w:rFonts w:ascii="Calibri" w:hAnsi="Calibri" w:cs="Calibri"/>
      <w:kern w:val="2"/>
      <w:sz w:val="18"/>
      <w:szCs w:val="18"/>
    </w:rPr>
  </w:style>
  <w:style w:type="character" w:customStyle="1" w:styleId="27">
    <w:name w:val="页脚 Char"/>
    <w:link w:val="14"/>
    <w:qFormat/>
    <w:locked/>
    <w:uiPriority w:val="99"/>
    <w:rPr>
      <w:rFonts w:ascii="Calibri" w:hAnsi="Calibri" w:cs="Calibri"/>
      <w:kern w:val="2"/>
      <w:sz w:val="18"/>
      <w:szCs w:val="18"/>
    </w:rPr>
  </w:style>
  <w:style w:type="character" w:customStyle="1" w:styleId="28">
    <w:name w:val="页眉 Char"/>
    <w:link w:val="15"/>
    <w:qFormat/>
    <w:locked/>
    <w:uiPriority w:val="99"/>
    <w:rPr>
      <w:rFonts w:ascii="Calibri" w:hAnsi="Calibri" w:cs="Calibri"/>
      <w:kern w:val="2"/>
      <w:sz w:val="18"/>
      <w:szCs w:val="18"/>
    </w:rPr>
  </w:style>
  <w:style w:type="paragraph" w:customStyle="1" w:styleId="29">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30">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31">
    <w:name w:val="font91"/>
    <w:qFormat/>
    <w:uiPriority w:val="99"/>
    <w:rPr>
      <w:rFonts w:ascii="Times New Roman" w:hAnsi="Times New Roman" w:cs="Times New Roman"/>
      <w:color w:val="000000"/>
      <w:sz w:val="24"/>
      <w:szCs w:val="24"/>
      <w:u w:val="none"/>
    </w:rPr>
  </w:style>
  <w:style w:type="character" w:customStyle="1" w:styleId="32">
    <w:name w:val="font101"/>
    <w:qFormat/>
    <w:uiPriority w:val="99"/>
    <w:rPr>
      <w:rFonts w:ascii="宋体" w:hAnsi="宋体" w:eastAsia="宋体" w:cs="宋体"/>
      <w:color w:val="000000"/>
      <w:sz w:val="24"/>
      <w:szCs w:val="24"/>
      <w:u w:val="none"/>
    </w:rPr>
  </w:style>
  <w:style w:type="character" w:customStyle="1" w:styleId="33">
    <w:name w:val="font31"/>
    <w:qFormat/>
    <w:uiPriority w:val="0"/>
    <w:rPr>
      <w:rFonts w:hint="default" w:ascii="Times New Roman" w:hAnsi="Times New Roman" w:cs="Times New Roman"/>
      <w:color w:val="000000"/>
      <w:sz w:val="22"/>
      <w:szCs w:val="22"/>
      <w:u w:val="none"/>
    </w:rPr>
  </w:style>
  <w:style w:type="character" w:customStyle="1" w:styleId="34">
    <w:name w:val="font01"/>
    <w:qFormat/>
    <w:uiPriority w:val="0"/>
    <w:rPr>
      <w:rFonts w:hint="eastAsia" w:ascii="宋体" w:hAnsi="宋体" w:eastAsia="宋体" w:cs="宋体"/>
      <w:color w:val="000000"/>
      <w:sz w:val="22"/>
      <w:szCs w:val="22"/>
      <w:u w:val="none"/>
    </w:rPr>
  </w:style>
  <w:style w:type="character" w:customStyle="1" w:styleId="35">
    <w:name w:val="font21"/>
    <w:qFormat/>
    <w:uiPriority w:val="0"/>
    <w:rPr>
      <w:rFonts w:hint="default" w:ascii="Times New Roman" w:hAnsi="Times New Roman" w:cs="Times New Roman"/>
      <w:color w:val="000000"/>
      <w:sz w:val="22"/>
      <w:szCs w:val="22"/>
      <w:u w:val="none"/>
    </w:rPr>
  </w:style>
  <w:style w:type="character" w:customStyle="1" w:styleId="36">
    <w:name w:val="font51"/>
    <w:qFormat/>
    <w:uiPriority w:val="0"/>
    <w:rPr>
      <w:rFonts w:hint="default" w:ascii="Times New Roman" w:hAnsi="Times New Roman" w:cs="Times New Roman"/>
      <w:color w:val="000000"/>
      <w:sz w:val="22"/>
      <w:szCs w:val="22"/>
      <w:u w:val="none"/>
    </w:rPr>
  </w:style>
  <w:style w:type="character" w:customStyle="1" w:styleId="37">
    <w:name w:val="font41"/>
    <w:qFormat/>
    <w:uiPriority w:val="0"/>
    <w:rPr>
      <w:rFonts w:hint="eastAsia" w:ascii="宋体" w:hAnsi="宋体" w:eastAsia="宋体" w:cs="宋体"/>
      <w:color w:val="000000"/>
      <w:sz w:val="20"/>
      <w:szCs w:val="20"/>
      <w:u w:val="none"/>
      <w:vertAlign w:val="superscript"/>
    </w:rPr>
  </w:style>
  <w:style w:type="character" w:customStyle="1" w:styleId="38">
    <w:name w:val="font11"/>
    <w:qFormat/>
    <w:uiPriority w:val="0"/>
    <w:rPr>
      <w:rFonts w:hint="eastAsia" w:ascii="宋体" w:hAnsi="宋体" w:eastAsia="宋体" w:cs="宋体"/>
      <w:color w:val="000000"/>
      <w:sz w:val="20"/>
      <w:szCs w:val="20"/>
      <w:u w:val="none"/>
      <w:vertAlign w:val="superscript"/>
    </w:rPr>
  </w:style>
  <w:style w:type="character" w:customStyle="1" w:styleId="39">
    <w:name w:val="font71"/>
    <w:qFormat/>
    <w:uiPriority w:val="0"/>
    <w:rPr>
      <w:rFonts w:ascii="新宋体" w:hAnsi="新宋体" w:eastAsia="新宋体" w:cs="新宋体"/>
      <w:color w:val="000000"/>
      <w:sz w:val="20"/>
      <w:szCs w:val="20"/>
      <w:u w:val="none"/>
    </w:rPr>
  </w:style>
  <w:style w:type="character" w:customStyle="1" w:styleId="40">
    <w:name w:val="font61"/>
    <w:qFormat/>
    <w:uiPriority w:val="0"/>
    <w:rPr>
      <w:rFonts w:hint="default" w:ascii="Times New Roman" w:hAnsi="Times New Roman" w:cs="Times New Roman"/>
      <w:color w:val="FF0000"/>
      <w:sz w:val="20"/>
      <w:szCs w:val="20"/>
      <w:u w:val="none"/>
    </w:rPr>
  </w:style>
  <w:style w:type="paragraph" w:customStyle="1" w:styleId="41">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p177"/>
    <w:basedOn w:val="1"/>
    <w:qFormat/>
    <w:uiPriority w:val="0"/>
    <w:pPr>
      <w:jc w:val="left"/>
    </w:pPr>
    <w:rPr>
      <w:rFonts w:cs="Times New Roman"/>
      <w:kern w:val="0"/>
      <w:szCs w:val="24"/>
    </w:rPr>
  </w:style>
  <w:style w:type="paragraph" w:customStyle="1" w:styleId="43">
    <w:name w:val="p179"/>
    <w:basedOn w:val="1"/>
    <w:qFormat/>
    <w:uiPriority w:val="0"/>
    <w:pPr>
      <w:ind w:left="180"/>
      <w:jc w:val="left"/>
    </w:pPr>
    <w:rPr>
      <w:rFonts w:cs="Times New Roman"/>
      <w:kern w:val="0"/>
      <w:szCs w:val="24"/>
    </w:rPr>
  </w:style>
  <w:style w:type="character" w:customStyle="1" w:styleId="44">
    <w:name w:val="标题 4 Char"/>
    <w:link w:val="8"/>
    <w:qFormat/>
    <w:uiPriority w:val="0"/>
    <w:rPr>
      <w:rFonts w:ascii="Cambria" w:hAnsi="Cambria" w:eastAsia="宋体" w:cs="Times New Roman"/>
      <w:b/>
      <w:bCs/>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E8FB5-E190-4344-80FD-C1B744B0DF6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34</Pages>
  <Words>14120</Words>
  <Characters>16024</Characters>
  <Lines>84</Lines>
  <Paragraphs>23</Paragraphs>
  <TotalTime>11</TotalTime>
  <ScaleCrop>false</ScaleCrop>
  <LinksUpToDate>false</LinksUpToDate>
  <CharactersWithSpaces>16380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Administrator</cp:lastModifiedBy>
  <cp:lastPrinted>2022-08-25T00:37:00Z</cp:lastPrinted>
  <dcterms:modified xsi:type="dcterms:W3CDTF">2022-09-02T02:36:21Z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9BAF01A2AE88456F9E84F37757283989</vt:lpwstr>
  </property>
</Properties>
</file>