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11"/>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r>
        <w:rPr>
          <w:rFonts w:hint="eastAsia" w:cs="宋体"/>
          <w:b/>
          <w:bCs/>
          <w:color w:val="000000"/>
          <w:sz w:val="84"/>
          <w:szCs w:val="84"/>
          <w:lang w:eastAsia="zh-CN"/>
        </w:rPr>
        <w:t>（</w:t>
      </w:r>
      <w:r>
        <w:rPr>
          <w:rFonts w:hint="eastAsia" w:cs="宋体"/>
          <w:b/>
          <w:bCs/>
          <w:color w:val="000000"/>
          <w:sz w:val="84"/>
          <w:szCs w:val="84"/>
          <w:lang w:val="en-US" w:eastAsia="zh-CN"/>
        </w:rPr>
        <w:t>二次</w:t>
      </w:r>
      <w:r>
        <w:rPr>
          <w:rFonts w:hint="eastAsia" w:cs="宋体"/>
          <w:b/>
          <w:bCs/>
          <w:color w:val="000000"/>
          <w:sz w:val="84"/>
          <w:szCs w:val="84"/>
          <w:lang w:eastAsia="zh-CN"/>
        </w:rPr>
        <w:t>）</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hint="eastAsia" w:ascii="宋体" w:eastAsia="楷体_GB2312"/>
          <w:b/>
          <w:bCs/>
          <w:color w:val="000000"/>
          <w:sz w:val="36"/>
          <w:szCs w:val="36"/>
          <w:lang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hint="eastAsia" w:ascii="楷体_GB2312" w:hAnsi="楷体_GB2312" w:eastAsia="楷体_GB2312" w:cs="楷体_GB2312"/>
          <w:b/>
          <w:bCs/>
          <w:color w:val="000000"/>
          <w:sz w:val="36"/>
          <w:szCs w:val="36"/>
          <w:u w:val="single"/>
          <w:lang w:eastAsia="zh-CN"/>
        </w:rPr>
        <w:t>2023-7#</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电子信息类</w:t>
      </w:r>
      <w:r>
        <w:rPr>
          <w:rFonts w:hint="eastAsia" w:ascii="楷体_GB2312" w:hAnsi="楷体_GB2312" w:eastAsia="楷体_GB2312" w:cs="楷体_GB2312"/>
          <w:b/>
          <w:bCs/>
          <w:color w:val="000000"/>
          <w:sz w:val="36"/>
          <w:szCs w:val="36"/>
          <w:u w:val="single"/>
        </w:rPr>
        <w:t>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3</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hint="eastAsia" w:ascii="仿宋_GB2312" w:hAnsi="??" w:eastAsia="仿宋_GB2312" w:cs="仿宋_GB2312"/>
          <w:color w:val="000000"/>
          <w:sz w:val="28"/>
          <w:szCs w:val="28"/>
          <w:lang w:val="en-US" w:eastAsia="zh-CN"/>
        </w:rPr>
        <w:t>13905109103/13770176940</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firstLine="742"/>
        <w:rPr>
          <w:rFonts w:hint="eastAsia" w:ascii="仿宋_GB2312"/>
          <w:color w:val="000000"/>
          <w:szCs w:val="32"/>
        </w:rPr>
      </w:pPr>
    </w:p>
    <w:p>
      <w:pPr>
        <w:pStyle w:val="7"/>
        <w:spacing w:line="600" w:lineRule="exact"/>
        <w:ind w:firstLine="742"/>
        <w:rPr>
          <w:rFonts w:hint="eastAsia" w:ascii="仿宋_GB2312"/>
          <w:color w:val="000000"/>
          <w:szCs w:val="32"/>
        </w:rPr>
      </w:pPr>
    </w:p>
    <w:p>
      <w:pPr>
        <w:pStyle w:val="7"/>
        <w:spacing w:line="600" w:lineRule="exact"/>
        <w:ind w:firstLine="742"/>
        <w:rPr>
          <w:rFonts w:hint="eastAsia" w:ascii="仿宋_GB2312"/>
          <w:color w:val="000000"/>
          <w:szCs w:val="32"/>
        </w:rPr>
      </w:pPr>
    </w:p>
    <w:p>
      <w:pPr>
        <w:pStyle w:val="7"/>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电子信息类</w:t>
      </w:r>
      <w:r>
        <w:rPr>
          <w:rFonts w:hint="eastAsia" w:ascii="仿宋_GB2312" w:hAnsi="仿宋_GB2312" w:eastAsia="仿宋_GB2312" w:cs="仿宋_GB2312"/>
          <w:bCs/>
          <w:sz w:val="28"/>
          <w:szCs w:val="28"/>
          <w:u w:val="single"/>
        </w:rPr>
        <w:t>实习材料定点供应单位</w:t>
      </w:r>
      <w:r>
        <w:rPr>
          <w:rFonts w:hint="eastAsia" w:ascii="仿宋_GB2312" w:hAnsi="仿宋_GB2312" w:eastAsia="仿宋_GB2312" w:cs="仿宋_GB2312"/>
          <w:bCs/>
          <w:sz w:val="28"/>
          <w:szCs w:val="28"/>
          <w:u w:val="none"/>
          <w:lang w:val="en-US" w:eastAsia="zh-CN"/>
        </w:rPr>
        <w:t>项目（二次）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532" w:type="dxa"/>
        <w:jc w:val="center"/>
        <w:shd w:val="clear" w:color="auto" w:fill="auto"/>
        <w:tblLayout w:type="fixed"/>
        <w:tblCellMar>
          <w:top w:w="0" w:type="dxa"/>
          <w:left w:w="0" w:type="dxa"/>
          <w:bottom w:w="0" w:type="dxa"/>
          <w:right w:w="0" w:type="dxa"/>
        </w:tblCellMar>
      </w:tblPr>
      <w:tblGrid>
        <w:gridCol w:w="510"/>
        <w:gridCol w:w="1562"/>
        <w:gridCol w:w="4119"/>
        <w:gridCol w:w="600"/>
        <w:gridCol w:w="800"/>
        <w:gridCol w:w="941"/>
      </w:tblGrid>
      <w:tr>
        <w:tblPrEx>
          <w:shd w:val="clear" w:color="auto" w:fill="auto"/>
          <w:tblCellMar>
            <w:top w:w="0" w:type="dxa"/>
            <w:left w:w="0" w:type="dxa"/>
            <w:bottom w:w="0" w:type="dxa"/>
            <w:right w:w="0" w:type="dxa"/>
          </w:tblCellMar>
        </w:tblPrEx>
        <w:trPr>
          <w:trHeight w:val="50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1"/>
                <w:szCs w:val="21"/>
                <w:u w:val="none"/>
                <w:lang w:val="en-US" w:eastAsia="zh-CN" w:bidi="ar"/>
              </w:rPr>
              <w:t>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1"/>
                <w:szCs w:val="21"/>
                <w:u w:val="none"/>
                <w:lang w:val="en-US" w:eastAsia="zh-CN" w:bidi="ar"/>
              </w:rPr>
              <w:t>联想M120 pro大红点USB有线鼠标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联想(FML301)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电源插排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公牛GN-109K，六插位，3米全长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转换插头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公牛，品字形分控一转二插座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电源插排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GN-314 独立开关 三位分控开关无线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1拖2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钮扣电池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南孚CR2032 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主板电池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松下CR2032（3V）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9V碱性电池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南孚(NANFU)9V碱性电池,5粒装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5类网络模块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唯康/Cat 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6类网络模块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唯康/Cat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摄像机内存卡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金仕顿128G/SDR 100M/S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拷贝台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A3幅面/三档调光/USB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电极棒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藤仓/80S/80C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一舟超五类D135-G，305m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一舟六类D165-G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山泽,2M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安普AMP 六类网线1427071-6 305米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5类网线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美术工具箱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得力68303-大号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机箱电源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安钛克 EA500，额定功率500W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长城G6（650W 铜牌 全模组）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航嘉WD500K，金牌电源500W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绿联AC1300M（2.4G+5.8G）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绿联AC650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千兆PCI-E网卡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TG-3269E内置有线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水星无线网卡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水星（MERCURY）MW150US(免驱版)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移动黑板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得力8739白板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HDMI高清连接线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飞利浦 5米 SWL6118F/93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HDMI高清连接线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绿联 2米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寻线仪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精明鼠 NF-8209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寻线仪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TL-CT128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KW</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得力64502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白板笔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得力33678，10支装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速写板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马利/8K/G6608B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电脑麦克风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飞利浦SHM1008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电脑麦克风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cm379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7.6*350mm,250条装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尼龙4*250，250条装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3.6*300mm，白色250条装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自锁式3*100,1000根/包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水粉笔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蒙玛特水粉笔套装，插画笔铁盒10支装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铅笔加长器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颜料盒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48格/软盖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唯康LC-LC/单模2米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一舟LC-LC/万兆多模3米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三星DVD刻录机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移动光驱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三星/SE-208GE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CPU风扇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九州风神 玄冰400四铜管 侧吹 支持13代cpu</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主机箱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乔思伯U4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六类双屏蔽网线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唯康/D1606GY六类双屏蔽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COB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一舟RJ45原装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超5类 RJ45 cat6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超5类 RJ45 cat5e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RJ11-6P4C芯片，100颗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RJ45水晶头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安普，超五类，非屏蔽100个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安普康（50U镀金 8P8C RJ45），10个/袋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一舟/原装RJ45（100只装）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大对数电缆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唯康/Cat5/25对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秋叶原/六类双屏蔽3米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秋叶原/六类双屏蔽2米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VGA视频线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金佳佰业 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尖嘴钳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宝工1PK-706Y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宝工SD-800-P3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宝工9SD-205A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普通十字螺丝刀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一字螺丝刀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普通一字螺丝刀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焊台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德力西 8786D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光纤剥线钳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宝工8PK-326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宝工8PK-SR005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4芯室内光纤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一舟/单模/9/125/4芯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勾毛同体魔术贴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2cm宽2米长，勾毛同体魔术贴理线带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热缩管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单芯光缆60mm/1000根/包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48芯ODF</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 D14848/Size:48芯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48芯分纤箱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唯康/model：48芯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48芯接头盒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 防水光纤接续盒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六类模块式配线架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VCOM/Model:D16424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25口语音配线架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VCOM/Model:D1351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RJ-45配线架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VCOM/Model:D15324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VCOM/24 SC duplex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标签扎带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多功能周转箱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加厚/592*485*360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住宅信息箱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德力西电气400*300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RJ-45网络压线钳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Fluke 11212530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网线钳+剥线刀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宝工(808-376H)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单口打线刀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Fluke D914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电信/网络模块打线刀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宝工8PK-324B 冲击式110/88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五对打线刀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三堡HT-315DR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语音打线刀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宝工CP-3141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红光笔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宝工MT-7520E-C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翻页笔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得力2801G黑，绿光版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皮缆开剥器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宝工8PK-325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横向开缆刀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祜荣HRTX,TC-105（4-32mm）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开缆刀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祜荣HRTX,TC-1021（4-32mm）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CAT6屏蔽模块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唯康/D1615/Cat6A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单芯皮线光纤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一舟/2芯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SC型光纤插座面板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VCOM/Model：D14705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SC型光纤耦合器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VCOM/SC duplex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移动光驱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三星/SE-208GE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调色板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蒙玛特MAPL0007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笔记本螺丝刀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赛尔浦SLP012/套装48件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PVC警示胶带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黑/黄48mm*33m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隔离带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散装/涤纶布 4cm*50m/黄、白禁止通行标识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剥线小黄刀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山泽SZ-571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电动螺丝刀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博世GO 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320*240*2（锁边），布，科普斯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飞利浦68cm*30cm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超大桌垫电脑垫，800*300mm,厚3mm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华为24口S1700-24GR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TP-LINK-SF1024S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华为，S1724G-AC,24口千兆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华为，S100-24T2SR，24口千兆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华为，S100-8T2S，8口千兆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分配器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绿联，USB3.0，4口，带5V/2A电源，1.5米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HDMI高清线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绿联（UGREEN）HDMI线2.0版 4K，5米长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USB延长线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网线延长转接头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山泽303BK，网络一分二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高速打印机线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绿联，5米，黑，USB方口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A4L型文件套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得力(deli)100只装A4L型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储物箱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佳帮手，加厚，大号80#,带盖，三件装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DVI线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24+1 公对公 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DVI24+1转VGA</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1080P高清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DVI24+5转VGA</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1081P高清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Intel I3-9100F</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无线路由器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华为路由器AX3，双核wifi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刻录光盘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飞利浦 4.7G DVD－R配光盘袋（50片）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SD卡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金士顿16G以上class10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无线路由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TP-LinkAC1900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WD/1TB/7200转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普联免驱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无线接收器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普联TL-WDN5200H免驱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VGA分配器一进二出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VGA分配器一进二出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海备思无线同屏器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海备思无线同屏器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型号WFD0525G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2.0版2米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hdmi转vga高清线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hdmi转vga高清线，1米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得力透明封箱胶带60mm*200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得力30065文具胶（1.8cm×30y）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内存条（4G）</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金士顿DDR4 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内存条（8G）</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金士顿DDR4 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内存条（16G）</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金士顿DDR4 16G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AOC 24B2XH,23.8英寸，VGA+HDMI+音频输出接口，黑色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AOC,27英寸，VGA+HDMI+音频输出接口，黑色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闪迪64GU盘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闪迪(SanDisk)64GB USB3.0 U盘 CZ73酷铄 银色 读速150MB/s 金属外壳 内含安全加密软件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小米路由器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小米路由器4A千兆版，双核CPU，双千兆，1200M双频无线速率5G，四天线穿墙，双频合一，光纤适用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十字口镙丝刀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十字口镙丝刀身长150mm以上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激光投线仪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绿光接触案件五线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金士顿A400系列 240G SATA3 固态硬盘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金士顿A400系列 480G SATA3 固态硬盘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NV2 系列 m.2接口 含散热片500G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NV2 系列 m.3接口 含散热片1T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三星980  1T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西部数据1TB，磨砂款，保护包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鼓风机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电脑主机清灰层使用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小蜜蜂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索爱S-588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储物箱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78*55*44 蓝色带盖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罗技G304黑色+鼠标垫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绿联，蓝牙，双模-无线2.4G，豆沙绿（月影灰）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机械键盘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罗技k845，TTC-红轴，惜墨如金版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WD/4TB/7200转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无线投屏器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绿联无线投屏器4K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焊锡丝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63%高纯度焊锡，1.0mm，100克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德力西73合一（s2材质）送辅助8件套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电动螺丝刀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博士 GSR120-LI 多功能31件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耳麦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漫步者hecate g2 头戴式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西部数据2t机械硬盘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硬盘传输线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SATA数据传输线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SAPPHIRE NITRO R7 350 2G GDDR5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主板电池 CR2032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爱国者 64G USB3.0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固态移动硬盘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闪迪E30-480G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AMPCOM 网线钳子套装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多功能网络测试仪 110打线刀剥线刀工具水晶头压线钳子 318工程版 AM-318GC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千兆光电转换器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sc口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千兆sc口光模块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sc口光模块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万兆光电转换器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 光收发器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万兆光模块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万兆光模块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扩展坞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倍思Typec 支持hdmi 千兆网卡 usb3.0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联想一体机电源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  方口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密码链条锁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5位密码  65厘米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耳机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惠普，电脑头戴式耳机带麦克风，8011无光版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智慧黑板触屏笔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温酷145x14mm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无线路由器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新一代满血WI-FI6AV3000 AC双频1900M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千兆高速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小米智能台灯，1S增强版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笔记本内存条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三星（SAMSUNG） 笔记本内存条 DDR4内存 DDR5内存 适用联想戴尔华硕小米苹果微星惠普等 DDR4 2400 1.2V 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海康威视HIKVISION监控摄像头300万全彩监控器家用人形侦测网线供电手机远程可录音B13HV3-LA4mm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海康威视监控摄像头家用600万超高清全彩监控器室内室外POE供电防水夜视手机远程家庭3T66WDV3-L4MM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萤石（EZVIZ） C6c 2K+星光增强版 400万极清 室内智能无线监控器家用摄像头 双向通话 手机远程 AI人形检测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3D打印机专用胶带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 2090蓝色美纹纸 48mmX54.8mm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3D打印机专用胶带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 2090蓝色美纹纸 48mmX54.8mm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3D打印机专用胶带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 2090蓝色美纹纸 48mmX54.8mm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玻璃清洗器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宝家洁  3-10mm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玻璃刮水器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益伟  60cm刮刀+1.2米伸缩杆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玉蜻蜓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线缆电脑标签打印机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兄弟（brother） 标签机PT-P700固定资产标签不干胶打印机24mm宽度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458" w:hRule="atLeast"/>
          <w:jc w:val="center"/>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cs="宋体"/>
                <w:b/>
                <w:bCs/>
                <w:color w:val="000000" w:themeColor="text1"/>
                <w:sz w:val="22"/>
                <w:szCs w:val="22"/>
                <w:lang w:eastAsia="zh-CN"/>
              </w:rPr>
              <w:t>合计（单价合计价）</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3、具体采购数量根据招标人实际需要确定。实际供货过程中，单价执行中标单价。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w:t>
      </w:r>
      <w:r>
        <w:rPr>
          <w:rFonts w:hint="eastAsia" w:ascii="仿宋_GB2312" w:eastAsia="仿宋_GB2312" w:cs="仿宋_GB2312"/>
          <w:b/>
          <w:bCs/>
          <w:color w:val="000000"/>
          <w:sz w:val="28"/>
          <w:szCs w:val="28"/>
          <w:lang w:eastAsia="zh-CN"/>
        </w:rPr>
        <w:t>，</w:t>
      </w:r>
      <w:r>
        <w:rPr>
          <w:rFonts w:hint="eastAsia" w:ascii="仿宋_GB2312" w:eastAsia="仿宋_GB2312" w:cs="仿宋_GB2312"/>
          <w:b/>
          <w:bCs/>
          <w:color w:val="000000"/>
          <w:sz w:val="28"/>
          <w:szCs w:val="28"/>
          <w:lang w:val="en-US" w:eastAsia="zh-CN"/>
        </w:rPr>
        <w:t>高于市场价的，可以选择其他采购方式</w:t>
      </w:r>
      <w:r>
        <w:rPr>
          <w:rFonts w:hint="eastAsia" w:ascii="仿宋_GB2312" w:eastAsia="仿宋_GB2312" w:cs="仿宋_GB2312"/>
          <w:b/>
          <w:bCs/>
          <w:color w:val="000000"/>
          <w:sz w:val="28"/>
          <w:szCs w:val="28"/>
        </w:rPr>
        <w:t>），或向其他供货商采购。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电子信息类实训耗材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3.4万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经申请后现金形式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获取招标文件</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获取招标文件</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邵老师</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13905109103/13770176940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w:t>
      </w:r>
      <w:r>
        <w:rPr>
          <w:rFonts w:hint="eastAsia" w:ascii="仿宋_GB2312" w:hAnsi="仿宋_GB2312" w:eastAsia="仿宋_GB2312" w:cs="仿宋_GB2312"/>
          <w:b/>
          <w:bCs/>
          <w:color w:val="000000"/>
          <w:sz w:val="28"/>
          <w:szCs w:val="28"/>
        </w:rPr>
        <w:t>江苏省盐城技师学院研发中心15楼会议室（盐城市文港中路128号）。</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hint="eastAsia" w:ascii="仿宋_GB2312" w:hAnsi="??" w:eastAsia="仿宋_GB2312" w:cs="仿宋_GB2312"/>
          <w:color w:val="000000"/>
          <w:sz w:val="28"/>
          <w:szCs w:val="28"/>
          <w:lang w:val="en-US" w:eastAsia="zh-CN"/>
        </w:rPr>
        <w:t>13905109103/13770176940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rPr>
        <w:t>七、</w:t>
      </w:r>
      <w:r>
        <w:rPr>
          <w:rFonts w:hint="eastAsia" w:ascii="黑体" w:hAnsi="黑体" w:eastAsia="黑体" w:cs="黑体"/>
          <w:b/>
          <w:bCs/>
          <w:color w:val="000000"/>
          <w:sz w:val="28"/>
          <w:szCs w:val="28"/>
          <w:lang w:val="en-US" w:eastAsia="zh-CN"/>
        </w:rPr>
        <w:t>其他要求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为确保校园安全，投标人进入江苏省盐城技师学院</w:t>
      </w:r>
      <w:r>
        <w:rPr>
          <w:rFonts w:hint="eastAsia" w:ascii="仿宋_GB2312" w:hAnsi="仿宋_GB2312" w:eastAsia="仿宋_GB2312" w:cs="仿宋_GB2312"/>
          <w:b/>
          <w:bCs/>
          <w:color w:val="000000"/>
          <w:sz w:val="28"/>
          <w:szCs w:val="28"/>
          <w:lang w:val="en-US" w:eastAsia="zh-CN"/>
        </w:rPr>
        <w:t>文港路</w:t>
      </w:r>
      <w:r>
        <w:rPr>
          <w:rFonts w:hint="eastAsia" w:ascii="仿宋_GB2312" w:hAnsi="仿宋_GB2312" w:eastAsia="仿宋_GB2312" w:cs="仿宋_GB2312"/>
          <w:b/>
          <w:bCs/>
          <w:color w:val="000000"/>
          <w:sz w:val="28"/>
          <w:szCs w:val="28"/>
        </w:rPr>
        <w:t>校区时应服从下列规定：</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（1）投标人从学校</w:t>
      </w:r>
      <w:r>
        <w:rPr>
          <w:rFonts w:hint="eastAsia" w:ascii="仿宋_GB2312" w:hAnsi="仿宋_GB2312" w:eastAsia="仿宋_GB2312" w:cs="仿宋_GB2312"/>
          <w:b/>
          <w:bCs/>
          <w:color w:val="000000"/>
          <w:sz w:val="28"/>
          <w:szCs w:val="28"/>
          <w:lang w:val="en-US" w:eastAsia="zh-CN"/>
        </w:rPr>
        <w:t>西</w:t>
      </w:r>
      <w:r>
        <w:rPr>
          <w:rFonts w:hint="eastAsia" w:ascii="仿宋_GB2312" w:hAnsi="仿宋_GB2312" w:eastAsia="仿宋_GB2312" w:cs="仿宋_GB2312"/>
          <w:b/>
          <w:bCs/>
          <w:color w:val="000000"/>
          <w:sz w:val="28"/>
          <w:szCs w:val="28"/>
        </w:rPr>
        <w:t>大门进出；投标人车辆一律不得进入校园。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（2）授权代表限1人进入校园，进入校园前须在西大门外相关工作人员处进行信息实名登记。请投标人注意投标截止时间，规范佩戴口罩。</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经申请后现金形式</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pStyle w:val="11"/>
        <w:rPr>
          <w:rFonts w:hint="eastAsia"/>
        </w:rPr>
      </w:pPr>
    </w:p>
    <w:p>
      <w:pPr>
        <w:rPr>
          <w:rFonts w:hint="eastAsia"/>
        </w:rPr>
      </w:pPr>
    </w:p>
    <w:p>
      <w:pPr>
        <w:pStyle w:val="11"/>
        <w:rPr>
          <w:rFonts w:hint="eastAsia"/>
        </w:rPr>
      </w:pPr>
    </w:p>
    <w:p>
      <w:pPr>
        <w:rPr>
          <w:rFonts w:hint="eastAsia"/>
        </w:rPr>
      </w:pPr>
    </w:p>
    <w:p>
      <w:pPr>
        <w:spacing w:beforeLines="50" w:afterLines="50" w:line="480" w:lineRule="exact"/>
        <w:jc w:val="center"/>
        <w:rPr>
          <w:rFonts w:eastAsia="黑体"/>
          <w:sz w:val="44"/>
        </w:rPr>
      </w:pPr>
      <w:r>
        <w:rPr>
          <w:rFonts w:hint="eastAsia" w:eastAsia="黑体"/>
          <w:sz w:val="44"/>
        </w:rPr>
        <w:t>第二部分  投标须知</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一、投标有效期</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本招标项目投标有效期为</w:t>
      </w:r>
      <w:r>
        <w:rPr>
          <w:rFonts w:hint="eastAsia" w:ascii="仿宋_GB2312" w:hAnsi="仿宋_GB2312" w:eastAsia="仿宋_GB2312" w:cs="仿宋_GB2312"/>
          <w:b/>
          <w:bCs/>
          <w:sz w:val="28"/>
          <w:szCs w:val="28"/>
          <w:u w:val="single"/>
        </w:rPr>
        <w:t>60日历天</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在投标有效期内，投标人不得要求撤销或修改其投标文件。 </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在投标有效期结束前，出现特殊情况需要延长投标有效期的，招标人可以书面形式要求所有投标人延长投标有效期。投标人同意延长的，不得要求或被允许修改其投标文件，但相应延长其投标保证金的有效期；投标人拒绝延长的，其投标失败，但投标人有权收回其投标保证金。</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二、预算价</w:t>
      </w:r>
    </w:p>
    <w:p>
      <w:pPr>
        <w:spacing w:line="560" w:lineRule="exact"/>
        <w:ind w:firstLine="562" w:firstLineChars="200"/>
        <w:rPr>
          <w:rFonts w:hint="eastAsia" w:ascii="仿宋_GB2312" w:hAnsi="仿宋_GB2312" w:eastAsia="仿宋_GB2312" w:cs="仿宋_GB2312"/>
          <w:b/>
          <w:color w:val="000000" w:themeColor="text1"/>
          <w:sz w:val="28"/>
          <w:szCs w:val="28"/>
          <w:u w:val="single"/>
        </w:rPr>
      </w:pPr>
      <w:r>
        <w:rPr>
          <w:rFonts w:hint="eastAsia" w:ascii="仿宋_GB2312" w:hAnsi="仿宋_GB2312" w:eastAsia="仿宋_GB2312" w:cs="仿宋_GB2312"/>
          <w:b/>
          <w:color w:val="000000" w:themeColor="text1"/>
          <w:sz w:val="28"/>
          <w:szCs w:val="28"/>
          <w:u w:val="single"/>
        </w:rPr>
        <w:t>招标人设定的预算金额为</w:t>
      </w:r>
      <w:r>
        <w:rPr>
          <w:rFonts w:hint="eastAsia" w:ascii="仿宋_GB2312" w:hAnsi="仿宋_GB2312" w:eastAsia="仿宋_GB2312" w:cs="仿宋_GB2312"/>
          <w:b/>
          <w:bCs/>
          <w:kern w:val="0"/>
          <w:sz w:val="28"/>
          <w:szCs w:val="28"/>
          <w:u w:val="single"/>
          <w:lang w:val="en-US" w:eastAsia="zh-CN"/>
        </w:rPr>
        <w:t>3.4万</w:t>
      </w:r>
      <w:r>
        <w:rPr>
          <w:rFonts w:hint="eastAsia" w:ascii="仿宋_GB2312" w:hAnsi="仿宋_GB2312" w:eastAsia="仿宋_GB2312" w:cs="仿宋_GB2312"/>
          <w:b/>
          <w:color w:val="000000" w:themeColor="text1"/>
          <w:sz w:val="28"/>
          <w:szCs w:val="28"/>
          <w:u w:val="single"/>
        </w:rPr>
        <w:t>元。招标人将拒绝高于预算价的投标报价。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三、投标报价</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1.投标报价的货币单位：人民币元。</w:t>
      </w:r>
    </w:p>
    <w:p>
      <w:pPr>
        <w:pStyle w:val="16"/>
        <w:snapToGrid w:val="0"/>
        <w:spacing w:line="560" w:lineRule="exact"/>
        <w:ind w:firstLine="560"/>
        <w:rPr>
          <w:rFonts w:ascii="仿宋_GB2312" w:hAnsi="仿宋_GB2312" w:eastAsia="仿宋_GB2312" w:cs="仿宋_GB2312"/>
          <w:color w:val="000000"/>
          <w:kern w:val="2"/>
          <w:szCs w:val="28"/>
        </w:rPr>
      </w:pPr>
      <w:r>
        <w:rPr>
          <w:rFonts w:hint="eastAsia" w:ascii="仿宋_GB2312" w:hAnsi="仿宋_GB2312" w:eastAsia="仿宋_GB2312" w:cs="仿宋_GB2312"/>
          <w:color w:val="000000"/>
          <w:szCs w:val="28"/>
        </w:rPr>
        <w:t>2.</w:t>
      </w:r>
      <w:r>
        <w:rPr>
          <w:rFonts w:hint="eastAsia" w:ascii="仿宋_GB2312" w:hAnsi="仿宋_GB2312" w:eastAsia="仿宋_GB2312" w:cs="仿宋_GB2312"/>
          <w:color w:val="000000"/>
          <w:kern w:val="2"/>
          <w:szCs w:val="28"/>
          <w:lang w:eastAsia="zh-CN"/>
        </w:rPr>
        <w:t>开标一览表</w:t>
      </w:r>
      <w:r>
        <w:rPr>
          <w:rFonts w:hint="eastAsia" w:ascii="仿宋_GB2312" w:hAnsi="仿宋_GB2312" w:eastAsia="仿宋_GB2312" w:cs="仿宋_GB2312"/>
          <w:color w:val="000000"/>
          <w:kern w:val="2"/>
          <w:szCs w:val="28"/>
        </w:rPr>
        <w:t>。投标人应根据招标的招标项目进行报价，</w:t>
      </w:r>
      <w:r>
        <w:rPr>
          <w:rFonts w:hint="eastAsia" w:ascii="仿宋_GB2312" w:hAnsi="仿宋_GB2312" w:eastAsia="仿宋_GB2312" w:cs="仿宋_GB2312"/>
          <w:b/>
          <w:bCs/>
          <w:color w:val="000000"/>
          <w:kern w:val="2"/>
          <w:szCs w:val="28"/>
          <w:u w:val="single"/>
        </w:rPr>
        <w:t>在报价中标明所提供的产品品牌、型号，产品只允许有一个报价</w:t>
      </w:r>
      <w:r>
        <w:rPr>
          <w:rFonts w:hint="eastAsia" w:ascii="仿宋_GB2312" w:hAnsi="仿宋_GB2312" w:eastAsia="仿宋_GB2312" w:cs="仿宋_GB2312"/>
          <w:color w:val="000000"/>
          <w:kern w:val="2"/>
          <w:szCs w:val="28"/>
        </w:rPr>
        <w:t>。</w:t>
      </w:r>
      <w:r>
        <w:rPr>
          <w:rFonts w:hint="eastAsia" w:ascii="仿宋_GB2312" w:hAnsi="仿宋_GB2312" w:eastAsia="仿宋_GB2312" w:cs="仿宋_GB2312"/>
          <w:b/>
          <w:bCs/>
          <w:color w:val="000000"/>
          <w:kern w:val="2"/>
          <w:szCs w:val="28"/>
          <w:u w:val="single"/>
        </w:rPr>
        <w:t>招标报价采用</w:t>
      </w:r>
      <w:r>
        <w:rPr>
          <w:rFonts w:hint="eastAsia" w:ascii="仿宋_GB2312" w:hAnsi="仿宋_GB2312" w:eastAsia="仿宋_GB2312" w:cs="仿宋_GB2312"/>
          <w:b/>
          <w:bCs/>
          <w:color w:val="000000"/>
          <w:kern w:val="2"/>
          <w:szCs w:val="28"/>
          <w:u w:val="single"/>
          <w:lang w:eastAsia="zh-CN"/>
        </w:rPr>
        <w:t>单价合计</w:t>
      </w:r>
      <w:r>
        <w:rPr>
          <w:rFonts w:hint="eastAsia" w:ascii="仿宋_GB2312" w:hAnsi="仿宋_GB2312" w:eastAsia="仿宋_GB2312" w:cs="仿宋_GB2312"/>
          <w:b/>
          <w:bCs/>
          <w:color w:val="000000"/>
          <w:kern w:val="2"/>
          <w:szCs w:val="28"/>
          <w:u w:val="single"/>
        </w:rPr>
        <w:t>方式，因此投标人的报价应包括所投产品费用、税金、国际国内运输、保险及其他有关的为完成本项目发生的所有费用</w:t>
      </w:r>
      <w:r>
        <w:rPr>
          <w:rFonts w:hint="eastAsia" w:ascii="仿宋_GB2312" w:hAnsi="仿宋_GB2312" w:eastAsia="仿宋_GB2312" w:cs="仿宋_GB2312"/>
          <w:color w:val="000000"/>
          <w:kern w:val="2"/>
          <w:szCs w:val="28"/>
        </w:rPr>
        <w:t>，招标文件中另有规定的除外。</w:t>
      </w:r>
    </w:p>
    <w:p>
      <w:pPr>
        <w:pStyle w:val="17"/>
        <w:tabs>
          <w:tab w:val="left" w:pos="851"/>
        </w:tabs>
        <w:snapToGrid w:val="0"/>
        <w:spacing w:line="560" w:lineRule="exact"/>
        <w:ind w:firstLine="560" w:firstLineChars="200"/>
        <w:rPr>
          <w:rFonts w:ascii="仿宋_GB2312" w:hAnsi="仿宋_GB2312" w:eastAsia="仿宋_GB2312" w:cs="仿宋_GB2312"/>
          <w:color w:val="000000"/>
          <w:kern w:val="2"/>
          <w:szCs w:val="28"/>
        </w:rPr>
      </w:pPr>
      <w:r>
        <w:rPr>
          <w:rFonts w:hint="eastAsia" w:ascii="仿宋_GB2312" w:hAnsi="仿宋_GB2312" w:eastAsia="仿宋_GB2312" w:cs="仿宋_GB2312"/>
          <w:color w:val="000000"/>
          <w:szCs w:val="28"/>
        </w:rPr>
        <w:t>3.</w:t>
      </w:r>
      <w:r>
        <w:rPr>
          <w:rFonts w:hint="eastAsia" w:ascii="仿宋_GB2312" w:hAnsi="仿宋_GB2312" w:eastAsia="仿宋_GB2312" w:cs="仿宋_GB2312"/>
          <w:color w:val="000000"/>
          <w:kern w:val="2"/>
          <w:szCs w:val="28"/>
        </w:rPr>
        <w:t>其他费用处理。招标文件未列明，而投标人认为必需的费用也需列入报价。</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4.投标人根据招标内容的要求，准确报价，一经报出，不得更改。</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5.开标时，以盖章的</w:t>
      </w:r>
      <w:r>
        <w:rPr>
          <w:rFonts w:hint="eastAsia" w:ascii="仿宋_GB2312" w:hAnsi="仿宋_GB2312" w:eastAsia="仿宋_GB2312" w:cs="仿宋_GB2312"/>
          <w:color w:val="000000"/>
          <w:sz w:val="28"/>
          <w:szCs w:val="28"/>
          <w:lang w:eastAsia="zh-CN"/>
        </w:rPr>
        <w:t>开标一览表</w:t>
      </w:r>
      <w:r>
        <w:rPr>
          <w:rFonts w:hint="eastAsia" w:ascii="仿宋_GB2312" w:hAnsi="仿宋_GB2312" w:eastAsia="仿宋_GB2312" w:cs="仿宋_GB2312"/>
          <w:color w:val="000000"/>
          <w:sz w:val="28"/>
          <w:szCs w:val="28"/>
        </w:rPr>
        <w:t>为准。</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投标文件的大写金额和小写金额不一致的，以大写金额为准；对不同文字文本投标的解释发生异议的，以中文文本为准。</w:t>
      </w:r>
    </w:p>
    <w:p>
      <w:pPr>
        <w:pStyle w:val="7"/>
        <w:adjustRightInd w:val="0"/>
        <w:snapToGrid w:val="0"/>
        <w:spacing w:line="560" w:lineRule="exact"/>
        <w:ind w:left="-2" w:firstLine="652"/>
        <w:rPr>
          <w:rFonts w:ascii="黑体" w:hAnsi="黑体" w:eastAsia="黑体" w:cs="黑体"/>
          <w:b/>
          <w:bCs/>
          <w:sz w:val="28"/>
          <w:szCs w:val="28"/>
        </w:rPr>
      </w:pPr>
      <w:r>
        <w:rPr>
          <w:rFonts w:hint="eastAsia" w:ascii="黑体" w:hAnsi="黑体" w:eastAsia="黑体" w:cs="黑体"/>
          <w:b/>
          <w:bCs/>
          <w:sz w:val="28"/>
          <w:szCs w:val="28"/>
        </w:rPr>
        <w:t>四、投标人的资信证明文件</w:t>
      </w:r>
    </w:p>
    <w:p>
      <w:pPr>
        <w:pStyle w:val="7"/>
        <w:adjustRightInd w:val="0"/>
        <w:snapToGrid w:val="0"/>
        <w:spacing w:line="560" w:lineRule="exact"/>
        <w:ind w:left="-2" w:firstLine="650"/>
        <w:rPr>
          <w:rFonts w:ascii="仿宋_GB2312" w:hAnsi="仿宋_GB2312" w:cs="仿宋_GB2312"/>
          <w:b/>
          <w:color w:val="000000" w:themeColor="text1"/>
          <w:sz w:val="28"/>
          <w:szCs w:val="28"/>
          <w:u w:val="single"/>
        </w:rPr>
      </w:pPr>
      <w:r>
        <w:rPr>
          <w:rFonts w:hint="eastAsia" w:ascii="仿宋_GB2312" w:hAnsi="??"/>
          <w:color w:val="000000"/>
          <w:sz w:val="28"/>
          <w:szCs w:val="28"/>
        </w:rPr>
        <w:t>投标人必须按照招标文件的要求提供有关资信证明文件材料，作为投标文件的一部分，以证明其有资格进行投标和有能力履行合同。</w:t>
      </w:r>
      <w:r>
        <w:rPr>
          <w:rFonts w:hint="eastAsia"/>
          <w:color w:val="000000"/>
          <w:sz w:val="28"/>
          <w:szCs w:val="28"/>
        </w:rPr>
        <w:t>招标文件规定提供的相关</w:t>
      </w:r>
      <w:r>
        <w:rPr>
          <w:rFonts w:hint="eastAsia"/>
          <w:b/>
          <w:color w:val="000000"/>
          <w:sz w:val="28"/>
          <w:szCs w:val="28"/>
        </w:rPr>
        <w:t>资质资信原件</w:t>
      </w:r>
      <w:r>
        <w:rPr>
          <w:rFonts w:hint="eastAsia"/>
          <w:color w:val="000000"/>
          <w:sz w:val="28"/>
          <w:szCs w:val="28"/>
        </w:rPr>
        <w:t>带至现场，并接受评委质询。</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五、投标文件（</w:t>
      </w:r>
      <w:r>
        <w:rPr>
          <w:rFonts w:hint="eastAsia" w:ascii="黑体" w:hAnsi="黑体" w:eastAsia="黑体" w:cs="黑体"/>
          <w:b/>
          <w:bCs/>
          <w:sz w:val="28"/>
          <w:szCs w:val="28"/>
          <w:lang w:eastAsia="zh-CN"/>
        </w:rPr>
        <w:t>开标一览表</w:t>
      </w:r>
      <w:r>
        <w:rPr>
          <w:rFonts w:hint="eastAsia" w:ascii="黑体" w:hAnsi="黑体" w:eastAsia="黑体" w:cs="黑体"/>
          <w:b/>
          <w:bCs/>
          <w:sz w:val="28"/>
          <w:szCs w:val="28"/>
        </w:rPr>
        <w:t>）的密封与标记</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1.投标文件正本中的</w:t>
      </w:r>
      <w:r>
        <w:rPr>
          <w:rFonts w:hint="eastAsia" w:ascii="仿宋_GB2312" w:hAnsi="仿宋_GB2312" w:eastAsia="仿宋_GB2312" w:cs="仿宋_GB2312"/>
          <w:color w:val="000000"/>
          <w:sz w:val="28"/>
          <w:szCs w:val="28"/>
          <w:lang w:eastAsia="zh-CN"/>
        </w:rPr>
        <w:t>开标一览表</w:t>
      </w:r>
      <w:r>
        <w:rPr>
          <w:rFonts w:hint="eastAsia" w:ascii="仿宋_GB2312" w:hAnsi="仿宋_GB2312" w:eastAsia="仿宋_GB2312" w:cs="仿宋_GB2312"/>
          <w:color w:val="000000"/>
          <w:sz w:val="28"/>
          <w:szCs w:val="28"/>
        </w:rPr>
        <w:t>，应加盖单位公章。</w:t>
      </w:r>
    </w:p>
    <w:p>
      <w:pPr>
        <w:adjustRightInd w:val="0"/>
        <w:snapToGrid w:val="0"/>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2.所有投标文件装入封袋后都必须在封口处密封并盖章。</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六、开标</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1.招标人将按规定的时间和地点组织公开开标，投标人应委派授权投标代表</w:t>
      </w:r>
      <w:r>
        <w:rPr>
          <w:rFonts w:hint="eastAsia" w:ascii="仿宋_GB2312" w:hAnsi="仿宋_GB2312" w:eastAsia="仿宋_GB2312" w:cs="仿宋_GB2312"/>
          <w:b/>
          <w:bCs/>
          <w:color w:val="000000"/>
          <w:sz w:val="28"/>
          <w:szCs w:val="28"/>
        </w:rPr>
        <w:t>（携带有效证件）</w:t>
      </w:r>
      <w:r>
        <w:rPr>
          <w:rFonts w:hint="eastAsia" w:ascii="仿宋_GB2312" w:hAnsi="仿宋_GB2312" w:eastAsia="仿宋_GB2312" w:cs="仿宋_GB2312"/>
          <w:color w:val="000000"/>
          <w:sz w:val="28"/>
          <w:szCs w:val="28"/>
        </w:rPr>
        <w:t>参加。</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2.开标由招标人主持，</w:t>
      </w:r>
      <w:r>
        <w:rPr>
          <w:rFonts w:hint="eastAsia" w:ascii="仿宋_GB2312" w:hAnsi="仿宋_GB2312" w:eastAsia="仿宋_GB2312" w:cs="仿宋_GB2312"/>
          <w:color w:val="000000"/>
          <w:spacing w:val="-4"/>
          <w:sz w:val="28"/>
          <w:szCs w:val="28"/>
        </w:rPr>
        <w:t>请购人</w:t>
      </w:r>
      <w:r>
        <w:rPr>
          <w:rFonts w:hint="eastAsia" w:ascii="仿宋_GB2312" w:hAnsi="仿宋_GB2312" w:eastAsia="仿宋_GB2312" w:cs="仿宋_GB2312"/>
          <w:color w:val="000000"/>
          <w:sz w:val="28"/>
          <w:szCs w:val="28"/>
        </w:rPr>
        <w:t>代表、监督代表、投标人代表以及有关工作人员参加。</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3.招标人做好开标记录并存档备查，开标记录应包括开标时宣读的主要内容。</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4.投标人在报价时不允许采用选择性报价，否则将被视为无效投标。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七、评标</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1.开标后，招标人将立即组织评标委员会（以下简称评标委员会）进行评标。</w:t>
      </w:r>
    </w:p>
    <w:p>
      <w:pPr>
        <w:adjustRightInd w:val="0"/>
        <w:snapToGrid w:val="0"/>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2.评标委员会由请购人代表组成，且人员构成符合政府采购有关规定。</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3.评标委员会按照投标价，以科学、公正的态度参加评审工作，</w:t>
      </w:r>
      <w:r>
        <w:rPr>
          <w:rFonts w:hint="eastAsia" w:ascii="仿宋_GB2312" w:hAnsi="仿宋_GB2312" w:eastAsia="仿宋_GB2312" w:cs="仿宋_GB2312"/>
          <w:b/>
          <w:bCs/>
          <w:color w:val="000000"/>
          <w:sz w:val="32"/>
          <w:szCs w:val="32"/>
          <w:u w:val="single"/>
        </w:rPr>
        <w:t>最低价为第一中标候选</w:t>
      </w:r>
      <w:r>
        <w:rPr>
          <w:rFonts w:hint="eastAsia" w:ascii="仿宋_GB2312" w:hAnsi="仿宋_GB2312" w:eastAsia="仿宋_GB2312" w:cs="仿宋_GB2312"/>
          <w:b/>
          <w:bCs/>
          <w:color w:val="000000"/>
          <w:sz w:val="32"/>
          <w:szCs w:val="32"/>
          <w:u w:val="single"/>
          <w:lang w:eastAsia="zh-CN"/>
        </w:rPr>
        <w:t>单位</w:t>
      </w:r>
      <w:r>
        <w:rPr>
          <w:rFonts w:hint="eastAsia" w:ascii="仿宋_GB2312" w:hAnsi="仿宋_GB2312" w:eastAsia="仿宋_GB2312" w:cs="仿宋_GB2312"/>
          <w:b/>
          <w:bCs/>
          <w:color w:val="000000"/>
          <w:sz w:val="32"/>
          <w:szCs w:val="32"/>
          <w:u w:val="single"/>
        </w:rPr>
        <w:t>，次低价为第二中标候选</w:t>
      </w:r>
      <w:r>
        <w:rPr>
          <w:rFonts w:hint="eastAsia" w:ascii="仿宋_GB2312" w:hAnsi="仿宋_GB2312" w:eastAsia="仿宋_GB2312" w:cs="仿宋_GB2312"/>
          <w:b/>
          <w:bCs/>
          <w:color w:val="000000"/>
          <w:sz w:val="32"/>
          <w:szCs w:val="32"/>
          <w:u w:val="single"/>
          <w:lang w:eastAsia="zh-CN"/>
        </w:rPr>
        <w:t>单位、再低价为第三中标候选单位</w:t>
      </w:r>
      <w:r>
        <w:rPr>
          <w:rFonts w:hint="eastAsia" w:ascii="仿宋_GB2312" w:hAnsi="仿宋_GB2312" w:eastAsia="仿宋_GB2312" w:cs="仿宋_GB2312"/>
          <w:b/>
          <w:bCs/>
          <w:color w:val="000000"/>
          <w:sz w:val="32"/>
          <w:szCs w:val="32"/>
          <w:u w:val="single"/>
        </w:rPr>
        <w:t>。</w:t>
      </w:r>
    </w:p>
    <w:p>
      <w:pPr>
        <w:adjustRightInd w:val="0"/>
        <w:snapToGrid w:val="0"/>
        <w:spacing w:line="560" w:lineRule="exact"/>
        <w:ind w:firstLine="562" w:firstLineChars="200"/>
        <w:rPr>
          <w:rFonts w:ascii="黑体" w:hAnsi="宋体" w:eastAsia="黑体" w:cs="宋体"/>
          <w:color w:val="000000"/>
          <w:kern w:val="0"/>
          <w:sz w:val="28"/>
          <w:szCs w:val="28"/>
        </w:rPr>
      </w:pPr>
      <w:r>
        <w:rPr>
          <w:rFonts w:hint="eastAsia" w:ascii="黑体" w:hAnsi="黑体" w:eastAsia="黑体" w:cs="黑体"/>
          <w:b/>
          <w:bCs/>
          <w:sz w:val="28"/>
          <w:szCs w:val="28"/>
        </w:rPr>
        <w:t>八、对投标文件的初审</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1.投标文件初审分为资格性检查和符合性检查。</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资格性检查：依据法律法规和招标文件的规定，对投标文件中的资格证明文件、投标保证金等进行审查，以确定投标供应商是否具备投标资格。</w:t>
      </w:r>
    </w:p>
    <w:p>
      <w:pPr>
        <w:adjustRightInd w:val="0"/>
        <w:snapToGrid w:val="0"/>
        <w:spacing w:line="560" w:lineRule="exact"/>
        <w:ind w:firstLine="540" w:firstLineChars="200"/>
        <w:rPr>
          <w:rFonts w:ascii="仿宋_GB2312" w:hAnsi="仿宋_GB2312" w:eastAsia="仿宋_GB2312" w:cs="仿宋_GB2312"/>
          <w:color w:val="000000"/>
          <w:spacing w:val="-5"/>
          <w:sz w:val="28"/>
          <w:szCs w:val="28"/>
        </w:rPr>
      </w:pPr>
      <w:r>
        <w:rPr>
          <w:rFonts w:hint="eastAsia" w:ascii="仿宋_GB2312" w:hAnsi="仿宋_GB2312" w:eastAsia="仿宋_GB2312" w:cs="仿宋_GB2312"/>
          <w:color w:val="000000"/>
          <w:spacing w:val="-5"/>
          <w:sz w:val="28"/>
          <w:szCs w:val="28"/>
        </w:rPr>
        <w:t>符合性检查：依据招标文件的规定，从投标文件的有效性、完整性和对招标文件的响应程度进行审查，以确定是否对招标文件的实质性要求作出响应。</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2.如果投标文件实质上没有响应招标文件的要求，评标委员会将予以拒绝，投标人不得通过修改或撤销不合要求的偏离或保留而使其投标成为实质性响应的投标。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九、无效投标条款和有关说明</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出现下列情况之一作为无效投标处理，包括：未按要求交纳投标保证金的；未按照招标文件规定要求签署、盖章的；投标人在报价时采用选择性报价；投标人不具备招标文件中规定资格要求的；不符合法律、法规和招标文件中规定的其他实质性要求的。</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2.出现下列情况之一作为废标处理：符合专业条件的供应商不足三家的；出现影响采购公正的违法、违规行为的；投标人的报价均超过了最高限价，采购人不能支付的；因重大变故，采购任务取消的。</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3.有关说明：投标低于三家时，招标人根据有关规定保留改用其他方式进行招标或重新招标的权利。</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十、确定中标单位</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1.评标委员会根据本招标文件规定向分管招投标工作领导汇报并推荐</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名中标候选人。</w:t>
      </w:r>
    </w:p>
    <w:p>
      <w:pPr>
        <w:adjustRightInd w:val="0"/>
        <w:snapToGrid w:val="0"/>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2.根据评委会推荐的中标候选人经招投标工作领导小组同意后</w:t>
      </w:r>
      <w:r>
        <w:rPr>
          <w:rFonts w:hint="eastAsia" w:ascii="仿宋_GB2312" w:hAnsi="仿宋_GB2312" w:eastAsia="仿宋_GB2312" w:cs="仿宋_GB2312"/>
          <w:b/>
          <w:bCs/>
          <w:color w:val="000000"/>
          <w:sz w:val="36"/>
          <w:szCs w:val="36"/>
        </w:rPr>
        <w:t>确定</w:t>
      </w:r>
      <w:r>
        <w:rPr>
          <w:rFonts w:hint="eastAsia" w:ascii="仿宋_GB2312" w:hAnsi="仿宋_GB2312" w:eastAsia="仿宋_GB2312" w:cs="仿宋_GB2312"/>
          <w:b/>
          <w:bCs/>
          <w:color w:val="000000"/>
          <w:sz w:val="36"/>
          <w:szCs w:val="36"/>
          <w:lang w:val="en-US" w:eastAsia="zh-CN"/>
        </w:rPr>
        <w:t>3</w:t>
      </w:r>
      <w:r>
        <w:rPr>
          <w:rFonts w:hint="eastAsia" w:ascii="仿宋_GB2312" w:hAnsi="仿宋_GB2312" w:eastAsia="仿宋_GB2312" w:cs="仿宋_GB2312"/>
          <w:b/>
          <w:bCs/>
          <w:color w:val="000000"/>
          <w:sz w:val="36"/>
          <w:szCs w:val="36"/>
        </w:rPr>
        <w:t>名中标人</w:t>
      </w:r>
      <w:r>
        <w:rPr>
          <w:rFonts w:hint="eastAsia" w:ascii="仿宋_GB2312" w:hAnsi="仿宋_GB2312" w:eastAsia="仿宋_GB2312" w:cs="仿宋_GB2312"/>
          <w:color w:val="000000"/>
          <w:sz w:val="28"/>
          <w:szCs w:val="28"/>
        </w:rPr>
        <w:t>。</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3.评审结束后报招投标领导小组同意后发放中标通知书。</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若有充分证据证明，中标候选人出现下列情况之一的，一经查实，将被取消中标资格：提供虚假材料谋取中标的；与评标委员会、请购人、其他供应商或者学校招投标办公室工作人员恶意串通的；向评审评标、采购人或学校招投标办公室工作人员行贿或者提供其他不正当利益的；不满足本招标文件规定的实质性要求，但在评标过程中又未被评标委员会发现的；不符合法律、法规的规定的其他情形。</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在此情况下一经认定，报招投标领导小组批准，招标人有权重新组织采购。</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十一、质疑处理</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1.对招标文件有质疑的投标单位，</w:t>
      </w:r>
      <w:r>
        <w:rPr>
          <w:rFonts w:hint="eastAsia" w:ascii="仿宋_GB2312" w:hAnsi="仿宋_GB2312" w:eastAsia="仿宋_GB2312" w:cs="仿宋_GB2312"/>
          <w:color w:val="000000"/>
          <w:sz w:val="28"/>
          <w:szCs w:val="28"/>
          <w:lang w:eastAsia="zh-CN"/>
        </w:rPr>
        <w:t>在发布招标公告之日起</w:t>
      </w:r>
      <w:r>
        <w:rPr>
          <w:rFonts w:hint="eastAsia" w:ascii="仿宋_GB2312" w:hAnsi="仿宋_GB2312" w:eastAsia="仿宋_GB2312" w:cs="仿宋_GB2312"/>
          <w:color w:val="000000"/>
          <w:sz w:val="28"/>
          <w:szCs w:val="28"/>
          <w:lang w:val="en-US" w:eastAsia="zh-CN"/>
        </w:rPr>
        <w:t>7天内</w:t>
      </w:r>
      <w:r>
        <w:rPr>
          <w:rFonts w:hint="eastAsia" w:ascii="仿宋_GB2312" w:hAnsi="仿宋_GB2312" w:eastAsia="仿宋_GB2312" w:cs="仿宋_GB2312"/>
          <w:color w:val="000000"/>
          <w:sz w:val="28"/>
          <w:szCs w:val="28"/>
        </w:rPr>
        <w:t>以书面形式向招标单位提出质疑，逾期招标单位有权不予受理。</w:t>
      </w:r>
      <w:r>
        <w:rPr>
          <w:rFonts w:hint="eastAsia" w:ascii="仿宋_GB2312" w:hAnsi="仿宋_GB2312" w:eastAsia="仿宋_GB2312" w:cs="仿宋_GB2312"/>
          <w:color w:val="000000"/>
          <w:sz w:val="28"/>
          <w:szCs w:val="28"/>
          <w:lang w:eastAsia="zh-CN"/>
        </w:rPr>
        <w:t>对技术参数的质疑由学校公共实训中心负责答疑（联系方式：</w:t>
      </w:r>
      <w:r>
        <w:rPr>
          <w:rFonts w:hint="eastAsia" w:ascii="仿宋_GB2312" w:hAnsi="仿宋_GB2312" w:eastAsia="仿宋_GB2312" w:cs="仿宋_GB2312"/>
          <w:color w:val="000000"/>
          <w:sz w:val="28"/>
          <w:szCs w:val="28"/>
          <w:lang w:val="en-US" w:eastAsia="zh-CN"/>
        </w:rPr>
        <w:t>吕老师，15895147792）</w:t>
      </w:r>
      <w:r>
        <w:rPr>
          <w:rFonts w:hint="eastAsia" w:ascii="仿宋_GB2312" w:hAnsi="仿宋_GB2312" w:eastAsia="仿宋_GB2312" w:cs="仿宋_GB2312"/>
          <w:color w:val="000000"/>
          <w:sz w:val="28"/>
          <w:szCs w:val="28"/>
        </w:rPr>
        <w:t>。</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2.参加投标供应商认为采购过程和招标结果使自己的权益受到损害的，可以从中标候选人公示之日起三个工作日内以书面形式向招标人提出质疑。非书面形式、三个工作日之外提交以及匿名的质疑将不予受理。</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3.质疑必须有参加投标供应商法定代表人或授权代表（投标文件中所确定的）签字,并加盖单位公章，以送达的方式提交。未按上述要求提交的质疑函（含传真、电子邮件等）招标人有权不予受理。</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4.未参加投标的供应商或在投标活动中本身权益未受到损害或从投标活动中受益的供应商所提出的质疑不予受理。</w:t>
      </w:r>
    </w:p>
    <w:p>
      <w:pPr>
        <w:adjustRightInd w:val="0"/>
        <w:snapToGrid w:val="0"/>
        <w:spacing w:line="560" w:lineRule="exact"/>
        <w:ind w:firstLine="552" w:firstLineChars="200"/>
        <w:rPr>
          <w:rFonts w:ascii="仿宋_GB2312" w:hAnsi="仿宋_GB2312" w:eastAsia="仿宋_GB2312" w:cs="仿宋_GB2312"/>
          <w:color w:val="000000"/>
          <w:spacing w:val="-2"/>
          <w:sz w:val="28"/>
          <w:szCs w:val="28"/>
        </w:rPr>
      </w:pPr>
      <w:r>
        <w:rPr>
          <w:rFonts w:hint="eastAsia" w:ascii="仿宋_GB2312" w:hAnsi="仿宋_GB2312" w:eastAsia="仿宋_GB2312" w:cs="仿宋_GB2312"/>
          <w:color w:val="000000"/>
          <w:spacing w:val="-2"/>
          <w:sz w:val="28"/>
          <w:szCs w:val="28"/>
        </w:rPr>
        <w:t>5.质疑函应当包括下列内容：质疑投标人的名称、地址、邮编、联系人、联系电话；具体的质疑事项及明确的请求；认为自己合法权益受到损害或可能受到损害的相关证据材料；提起质疑的日期；质疑函应当署名：质疑人为法人或其他组织的，应当由法定代表人签字并加盖单位公章。质疑人委托代理质疑的，应当提交授权委托书，并载明委托代理的具体权限和事项。</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6.学校招投标办公室收到质疑函后，将对质疑的形式和内容进行审查，如质疑函内容、格式不符合规定，学院招投标办公室将告知质疑人进行补正。</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7.质疑人应当在法定质疑期限内进行补正并重新提交质疑函，拒不补正或者在法定期限内未重新提交质疑函的，为无效质疑，学校招投标办公室有权不予受理。</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8.对于内容、格式符合规定的质疑函，学校招投标办公室应当在收到投标供应商的书面质疑后七个工作日内作出答复，并以书面形式通知质疑供应商和其他有关供应商，但答复的内容不得涉及商业秘密。</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9.投标人提出书面质疑必须有理、有据，不得恶意质疑或提交虚假质疑。否则，一经查实，学校招投标办公室有权依据政府采购的有关规定，将该单位列入黑名单。</w:t>
      </w:r>
    </w:p>
    <w:p>
      <w:pPr>
        <w:pStyle w:val="8"/>
        <w:keepNext w:val="0"/>
        <w:keepLines w:val="0"/>
        <w:pageBreakBefore w:val="0"/>
        <w:kinsoku/>
        <w:wordWrap/>
        <w:topLinePunct w:val="0"/>
        <w:bidi w:val="0"/>
        <w:adjustRightInd w:val="0"/>
        <w:snapToGrid w:val="0"/>
        <w:spacing w:line="500" w:lineRule="exact"/>
        <w:ind w:left="0" w:leftChars="0" w:right="0" w:firstLine="562" w:firstLineChars="200"/>
        <w:rPr>
          <w:rFonts w:hint="eastAsia" w:ascii="黑体" w:hAnsi="黑体" w:eastAsia="黑体" w:cs="黑体"/>
          <w:b/>
          <w:bCs/>
          <w:sz w:val="28"/>
          <w:szCs w:val="28"/>
        </w:rPr>
      </w:pPr>
      <w:r>
        <w:rPr>
          <w:rFonts w:hint="eastAsia" w:ascii="宋体" w:hAnsi="宋体" w:cs="宋体"/>
          <w:b/>
          <w:bCs/>
          <w:color w:val="auto"/>
          <w:kern w:val="0"/>
          <w:sz w:val="28"/>
          <w:szCs w:val="28"/>
          <w:highlight w:val="none"/>
          <w:u w:val="single"/>
        </w:rPr>
        <w:t>投标人提出书面质疑必须合法、有理、有据，不得恶意质疑或提交虚假质疑或自己质疑自己。否则一经查实，招标人将不退还其投标保证金，限制（3年）其进入</w:t>
      </w:r>
      <w:r>
        <w:rPr>
          <w:rFonts w:hint="eastAsia" w:hAnsi="宋体" w:cs="宋体"/>
          <w:b/>
          <w:bCs/>
          <w:color w:val="auto"/>
          <w:kern w:val="0"/>
          <w:sz w:val="28"/>
          <w:szCs w:val="28"/>
          <w:highlight w:val="none"/>
          <w:u w:val="single"/>
          <w:lang w:eastAsia="zh-CN"/>
        </w:rPr>
        <w:t>江苏省盐城技师学院</w:t>
      </w:r>
      <w:r>
        <w:rPr>
          <w:rFonts w:hint="eastAsia" w:ascii="宋体" w:hAnsi="宋体" w:cs="宋体"/>
          <w:b/>
          <w:bCs/>
          <w:color w:val="auto"/>
          <w:kern w:val="0"/>
          <w:sz w:val="28"/>
          <w:szCs w:val="28"/>
          <w:highlight w:val="none"/>
          <w:u w:val="single"/>
        </w:rPr>
        <w:t>采购市场，并向信用中国网、信用江苏网、政府采购网举报，同时依据有关规定向上级管理监督机关报告</w:t>
      </w:r>
      <w:r>
        <w:rPr>
          <w:rFonts w:hint="eastAsia" w:ascii="宋体" w:hAnsi="宋体" w:cs="宋体"/>
          <w:color w:val="000000"/>
          <w:kern w:val="0"/>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十二、串标处理</w:t>
      </w:r>
    </w:p>
    <w:p>
      <w:pPr>
        <w:widowControl/>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根据财政部87号令第三十七条规定了视投标人相互串通投标的几种情形：</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1.不同投标人的投标文件由同一单位或者个人编制；</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2.不同投标人委托同一单位或者个人办理投标事宜；</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3.不同投标人的投标文件载明的项目管理成员为同一人；</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4.不同投标人的投标文件异常一致或者投标报价呈规律性差异；</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5.不同投标人的投标文件相互混装；</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6.不同投标人的投标保证金从同一单位或者个人账户转出。</w:t>
      </w:r>
    </w:p>
    <w:p>
      <w:pPr>
        <w:adjustRightInd w:val="0"/>
        <w:snapToGrid w:val="0"/>
        <w:spacing w:line="52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根据此情形，经评委会认定投标人相互串通，招标方将依法作出相关处理。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十三、签订合同</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1.第一、第二</w:t>
      </w:r>
      <w:r>
        <w:rPr>
          <w:rFonts w:hint="eastAsia" w:ascii="仿宋_GB2312" w:hAnsi="仿宋_GB2312" w:eastAsia="仿宋_GB2312" w:cs="仿宋_GB2312"/>
          <w:color w:val="000000"/>
          <w:sz w:val="28"/>
          <w:szCs w:val="28"/>
          <w:lang w:eastAsia="zh-CN"/>
        </w:rPr>
        <w:t>、第三</w:t>
      </w:r>
      <w:r>
        <w:rPr>
          <w:rFonts w:hint="eastAsia" w:ascii="仿宋_GB2312" w:hAnsi="仿宋_GB2312" w:eastAsia="仿宋_GB2312" w:cs="仿宋_GB2312"/>
          <w:color w:val="000000"/>
          <w:sz w:val="28"/>
          <w:szCs w:val="28"/>
        </w:rPr>
        <w:t>中标人应按照中标通知书规定的时间、地点及招投标文件确定的相关事项与采购人</w:t>
      </w:r>
      <w:r>
        <w:rPr>
          <w:rFonts w:hint="eastAsia" w:ascii="仿宋_GB2312" w:hAnsi="仿宋_GB2312" w:eastAsia="仿宋_GB2312" w:cs="仿宋_GB2312"/>
          <w:b/>
          <w:bCs/>
          <w:color w:val="000000"/>
          <w:sz w:val="28"/>
          <w:szCs w:val="28"/>
          <w:u w:val="single"/>
        </w:rPr>
        <w:t>签订为期一年的供货合同</w:t>
      </w:r>
      <w:r>
        <w:rPr>
          <w:rFonts w:hint="eastAsia" w:ascii="仿宋_GB2312" w:hAnsi="仿宋_GB2312" w:eastAsia="仿宋_GB2312" w:cs="仿宋_GB2312"/>
          <w:color w:val="000000"/>
          <w:sz w:val="28"/>
          <w:szCs w:val="28"/>
        </w:rPr>
        <w:t>，否则投标保证金将不予退还，由此给采购人造成损失的，中标人还应承担赔偿责任。</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2.招标文件、中标人的投标文件及招标过程中有关澄清、承诺文件均应作为合同附件。</w:t>
      </w:r>
    </w:p>
    <w:p>
      <w:pPr>
        <w:adjustRightInd w:val="0"/>
        <w:snapToGrid w:val="0"/>
        <w:spacing w:line="560" w:lineRule="exact"/>
        <w:ind w:firstLine="560" w:firstLineChars="200"/>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签订合同后，中标人不得将定点供货相关服务进行转包。未经采购人同意，中标人也不得采用分包的形式履行合同，否则采购人有权终止合同，中标人的履约保证金将不予退还。转包或分包造成采购人损失的，中标人应承担相应赔偿责任。</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十四、报名事项</w:t>
      </w:r>
    </w:p>
    <w:p>
      <w:pPr>
        <w:widowControl/>
        <w:adjustRightInd w:val="0"/>
        <w:snapToGrid w:val="0"/>
        <w:spacing w:line="560" w:lineRule="exact"/>
        <w:ind w:firstLine="560" w:firstLineChars="200"/>
        <w:rPr>
          <w:rFonts w:ascii="仿宋_GB2312" w:hAnsi="??" w:eastAsia="仿宋_GB2312"/>
          <w:color w:val="000000"/>
          <w:sz w:val="28"/>
          <w:szCs w:val="28"/>
        </w:rPr>
      </w:pPr>
      <w:r>
        <w:rPr>
          <w:rFonts w:hint="eastAsia" w:ascii="仿宋_GB2312" w:hAnsi="??" w:eastAsia="仿宋_GB2312"/>
          <w:color w:val="000000"/>
          <w:sz w:val="28"/>
          <w:szCs w:val="28"/>
        </w:rPr>
        <w:t>凡符合报名条件的投标单位，在阅读并认可本方案之后，向学校作出安全、诚信、守法等服务承诺书，并由法定代表人签字，单位盖章。</w:t>
      </w:r>
    </w:p>
    <w:p>
      <w:pPr>
        <w:snapToGrid w:val="0"/>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十五、质量保修期</w:t>
      </w:r>
    </w:p>
    <w:p>
      <w:pPr>
        <w:widowControl/>
        <w:adjustRightInd w:val="0"/>
        <w:snapToGrid w:val="0"/>
        <w:spacing w:line="560" w:lineRule="exact"/>
        <w:ind w:firstLine="562" w:firstLineChars="200"/>
        <w:rPr>
          <w:rFonts w:hint="eastAsia"/>
          <w:lang w:val="zh-TW"/>
        </w:rPr>
      </w:pPr>
      <w:r>
        <w:rPr>
          <w:rFonts w:hint="eastAsia" w:ascii="仿宋_GB2312" w:hAnsi="??" w:eastAsia="仿宋_GB2312"/>
          <w:b/>
          <w:bCs/>
          <w:color w:val="000000"/>
          <w:sz w:val="28"/>
          <w:szCs w:val="28"/>
        </w:rPr>
        <w:t>本项目质量保修期为一年。如生产厂家规定的质量保修期限大于该期限，按生产厂家规定执行。</w:t>
      </w: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5740A"/>
    <w:rsid w:val="003032C3"/>
    <w:rsid w:val="00557F91"/>
    <w:rsid w:val="00734B35"/>
    <w:rsid w:val="008441F9"/>
    <w:rsid w:val="00895C9B"/>
    <w:rsid w:val="0090504B"/>
    <w:rsid w:val="00A35E9E"/>
    <w:rsid w:val="00C44A09"/>
    <w:rsid w:val="011910FF"/>
    <w:rsid w:val="0140643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0F07D9"/>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DCE1EF3"/>
    <w:rsid w:val="0E4A2006"/>
    <w:rsid w:val="0EED3DB3"/>
    <w:rsid w:val="0F78360A"/>
    <w:rsid w:val="0FA34244"/>
    <w:rsid w:val="10143005"/>
    <w:rsid w:val="10486C99"/>
    <w:rsid w:val="10A02C4D"/>
    <w:rsid w:val="110E6AA5"/>
    <w:rsid w:val="114D30EA"/>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E77990"/>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913882"/>
    <w:rsid w:val="27B73D55"/>
    <w:rsid w:val="28627E33"/>
    <w:rsid w:val="28DD624C"/>
    <w:rsid w:val="293C3219"/>
    <w:rsid w:val="296E1849"/>
    <w:rsid w:val="296E617B"/>
    <w:rsid w:val="29D03263"/>
    <w:rsid w:val="2AA75F42"/>
    <w:rsid w:val="2AC9263F"/>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246ECF"/>
    <w:rsid w:val="313955CB"/>
    <w:rsid w:val="3152597F"/>
    <w:rsid w:val="31721C46"/>
    <w:rsid w:val="31F604A7"/>
    <w:rsid w:val="3265343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B3E51"/>
    <w:rsid w:val="38BB2241"/>
    <w:rsid w:val="38C206FA"/>
    <w:rsid w:val="38E14EED"/>
    <w:rsid w:val="38FF2799"/>
    <w:rsid w:val="394F79A9"/>
    <w:rsid w:val="39611304"/>
    <w:rsid w:val="39862172"/>
    <w:rsid w:val="39A806B8"/>
    <w:rsid w:val="3A114339"/>
    <w:rsid w:val="3B227CE0"/>
    <w:rsid w:val="3B6162F8"/>
    <w:rsid w:val="3B721FC2"/>
    <w:rsid w:val="3B855F46"/>
    <w:rsid w:val="3CED2288"/>
    <w:rsid w:val="3D2D679A"/>
    <w:rsid w:val="3D4373BD"/>
    <w:rsid w:val="3D7F4F0B"/>
    <w:rsid w:val="3DA065DC"/>
    <w:rsid w:val="3DD95AFA"/>
    <w:rsid w:val="3DFF1EF8"/>
    <w:rsid w:val="3E0B1225"/>
    <w:rsid w:val="3E6F0B2E"/>
    <w:rsid w:val="3F0262BC"/>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9273FEE"/>
    <w:rsid w:val="4A0952BB"/>
    <w:rsid w:val="4A300DBD"/>
    <w:rsid w:val="4B183B51"/>
    <w:rsid w:val="4BFD7E37"/>
    <w:rsid w:val="4C3C461D"/>
    <w:rsid w:val="4C702BBA"/>
    <w:rsid w:val="4C805C6D"/>
    <w:rsid w:val="4CFB3FC6"/>
    <w:rsid w:val="4D752DFF"/>
    <w:rsid w:val="4D8021E4"/>
    <w:rsid w:val="4DE62960"/>
    <w:rsid w:val="4E100D3C"/>
    <w:rsid w:val="4E4B3D37"/>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5205E9"/>
    <w:rsid w:val="56903F5F"/>
    <w:rsid w:val="56D25390"/>
    <w:rsid w:val="57250D68"/>
    <w:rsid w:val="573D0770"/>
    <w:rsid w:val="57C23453"/>
    <w:rsid w:val="58195E3A"/>
    <w:rsid w:val="594F6C2F"/>
    <w:rsid w:val="595A4C77"/>
    <w:rsid w:val="59A01DC1"/>
    <w:rsid w:val="59E14449"/>
    <w:rsid w:val="5A0C0BD4"/>
    <w:rsid w:val="5A545CE9"/>
    <w:rsid w:val="5A5B4BA8"/>
    <w:rsid w:val="5BAB7008"/>
    <w:rsid w:val="5BC93FC8"/>
    <w:rsid w:val="5C114079"/>
    <w:rsid w:val="5CB155B2"/>
    <w:rsid w:val="5CEC31AB"/>
    <w:rsid w:val="5CF86948"/>
    <w:rsid w:val="5D303546"/>
    <w:rsid w:val="5E25386B"/>
    <w:rsid w:val="5E5516EB"/>
    <w:rsid w:val="5E7E6476"/>
    <w:rsid w:val="5EB24D06"/>
    <w:rsid w:val="5EC00FDE"/>
    <w:rsid w:val="5F6B5E3D"/>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0B58BC"/>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24E4A"/>
    <w:rsid w:val="6F352D7D"/>
    <w:rsid w:val="6F93454C"/>
    <w:rsid w:val="6FEC24F9"/>
    <w:rsid w:val="70741F79"/>
    <w:rsid w:val="70AD6F2E"/>
    <w:rsid w:val="710F6F32"/>
    <w:rsid w:val="71112407"/>
    <w:rsid w:val="71512C49"/>
    <w:rsid w:val="71661C44"/>
    <w:rsid w:val="717E223A"/>
    <w:rsid w:val="71B1120F"/>
    <w:rsid w:val="71D64F7C"/>
    <w:rsid w:val="71F54C9C"/>
    <w:rsid w:val="72561178"/>
    <w:rsid w:val="72577F3A"/>
    <w:rsid w:val="73337F48"/>
    <w:rsid w:val="733F1F02"/>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1"/>
    </w:rPr>
  </w:style>
  <w:style w:type="paragraph" w:styleId="6">
    <w:name w:val="Body Text"/>
    <w:basedOn w:val="1"/>
    <w:next w:val="1"/>
    <w:qFormat/>
    <w:uiPriority w:val="99"/>
    <w:pPr>
      <w:spacing w:after="120"/>
    </w:p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0"/>
    <w:qFormat/>
    <w:uiPriority w:val="0"/>
    <w:rPr>
      <w:rFonts w:ascii="Calibri" w:hAnsi="Calibri"/>
      <w:kern w:val="2"/>
      <w:sz w:val="18"/>
      <w:szCs w:val="18"/>
    </w:rPr>
  </w:style>
  <w:style w:type="character" w:customStyle="1" w:styleId="19">
    <w:name w:val="页脚 Char"/>
    <w:basedOn w:val="14"/>
    <w:link w:val="9"/>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paragraph" w:customStyle="1" w:styleId="3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35</Pages>
  <Words>14971</Words>
  <Characters>18885</Characters>
  <Lines>91</Lines>
  <Paragraphs>25</Paragraphs>
  <TotalTime>5</TotalTime>
  <ScaleCrop>false</ScaleCrop>
  <LinksUpToDate>false</LinksUpToDate>
  <CharactersWithSpaces>19774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2022-02-08T01:38:00Z</cp:lastPrinted>
  <dcterms:modified xsi:type="dcterms:W3CDTF">2023-03-06T00:53:30Z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25D00884BB3D472197B0A6DC70F9EB42</vt:lpwstr>
  </property>
</Properties>
</file>