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pStyle w:val="13"/>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val="en-US"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3</w:t>
      </w:r>
      <w:r>
        <w:rPr>
          <w:rFonts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4</w:t>
      </w:r>
      <w:r>
        <w:rPr>
          <w:rFonts w:ascii="楷体_GB2312" w:hAnsi="楷体_GB2312" w:eastAsia="楷体_GB2312" w:cs="楷体_GB2312"/>
          <w:b/>
          <w:bCs/>
          <w:color w:val="000000"/>
          <w:sz w:val="36"/>
          <w:szCs w:val="36"/>
          <w:u w:val="single"/>
        </w:rPr>
        <w:t>#</w:t>
      </w:r>
    </w:p>
    <w:p>
      <w:pPr>
        <w:spacing w:line="360" w:lineRule="auto"/>
        <w:rPr>
          <w:rFonts w:ascii="楷体_GB2312" w:hAnsi="楷体_GB2312" w:eastAsia="楷体_GB2312" w:cs="楷体_GB2312"/>
          <w:b/>
          <w:bCs/>
          <w:color w:val="000000"/>
          <w:sz w:val="36"/>
          <w:szCs w:val="36"/>
          <w:u w:val="single"/>
        </w:rPr>
      </w:pPr>
      <w:r>
        <w:rPr>
          <w:rFonts w:hint="eastAsia" w:ascii="宋体" w:hAnsi="宋体" w:cs="宋体"/>
          <w:b/>
          <w:bCs/>
          <w:color w:val="000000"/>
          <w:sz w:val="36"/>
          <w:szCs w:val="36"/>
        </w:rPr>
        <w:t>项目名称：</w:t>
      </w:r>
      <w:r>
        <w:rPr>
          <w:rFonts w:hint="eastAsia" w:ascii="楷体_GB2312" w:hAnsi="楷体_GB2312" w:eastAsia="楷体_GB2312" w:cs="楷体_GB2312"/>
          <w:b/>
          <w:bCs/>
          <w:color w:val="000000"/>
          <w:sz w:val="36"/>
          <w:szCs w:val="36"/>
          <w:u w:val="single"/>
        </w:rPr>
        <w:t>202</w:t>
      </w:r>
      <w:r>
        <w:rPr>
          <w:rFonts w:hint="eastAsia" w:ascii="楷体_GB2312" w:hAnsi="楷体_GB2312" w:eastAsia="楷体_GB2312" w:cs="楷体_GB2312"/>
          <w:b/>
          <w:bCs/>
          <w:color w:val="000000"/>
          <w:sz w:val="36"/>
          <w:szCs w:val="36"/>
          <w:u w:val="single"/>
          <w:lang w:val="en-US" w:eastAsia="zh-CN"/>
        </w:rPr>
        <w:t>3</w:t>
      </w:r>
      <w:r>
        <w:rPr>
          <w:rFonts w:hint="eastAsia" w:ascii="楷体_GB2312" w:hAnsi="楷体_GB2312" w:eastAsia="楷体_GB2312" w:cs="楷体_GB2312"/>
          <w:b/>
          <w:bCs/>
          <w:color w:val="000000"/>
          <w:sz w:val="36"/>
          <w:szCs w:val="36"/>
          <w:u w:val="single"/>
        </w:rPr>
        <w:t>年教职工传统节日福利项目</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cs="宋体"/>
          <w:b/>
          <w:bCs/>
          <w:color w:val="000000"/>
          <w:sz w:val="36"/>
          <w:szCs w:val="36"/>
        </w:rPr>
      </w:pPr>
    </w:p>
    <w:p>
      <w:pPr>
        <w:pStyle w:val="13"/>
        <w:rPr>
          <w:rFonts w:cs="宋体"/>
          <w:b/>
          <w:bCs/>
          <w:color w:val="000000"/>
          <w:sz w:val="36"/>
          <w:szCs w:val="36"/>
        </w:rPr>
      </w:pPr>
    </w:p>
    <w:p/>
    <w:p>
      <w:pPr>
        <w:rPr>
          <w:rFonts w:eastAsia="Times New Roman" w:cs="宋体"/>
          <w:b/>
          <w:bCs/>
          <w:color w:val="000000"/>
          <w:sz w:val="36"/>
          <w:szCs w:val="36"/>
          <w:lang w:eastAsia="zh-TW"/>
        </w:rPr>
      </w:pPr>
    </w:p>
    <w:p>
      <w:pPr>
        <w:jc w:val="center"/>
        <w:rPr>
          <w:rFonts w:eastAsia="Times New Roman" w:cs="黑体"/>
          <w:color w:val="000000"/>
          <w:sz w:val="44"/>
          <w:szCs w:val="44"/>
        </w:rPr>
      </w:pPr>
      <w:r>
        <w:rPr>
          <w:rFonts w:hint="eastAsia" w:ascii="楷体_GB2312" w:hAnsi="楷体_GB2312" w:eastAsia="楷体_GB2312" w:cs="楷体_GB2312"/>
          <w:b/>
          <w:bCs/>
          <w:color w:val="000000"/>
          <w:sz w:val="44"/>
          <w:szCs w:val="44"/>
          <w:lang w:eastAsia="zh-CN"/>
        </w:rPr>
        <w:t>2023</w:t>
      </w:r>
      <w:r>
        <w:rPr>
          <w:rFonts w:hint="eastAsia" w:ascii="楷体_GB2312" w:hAnsi="楷体_GB2312" w:eastAsia="楷体_GB2312" w:cs="楷体_GB2312"/>
          <w:b/>
          <w:bCs/>
          <w:color w:val="000000"/>
          <w:sz w:val="44"/>
          <w:szCs w:val="44"/>
        </w:rPr>
        <w:t>年</w:t>
      </w:r>
      <w:r>
        <w:rPr>
          <w:rFonts w:hint="eastAsia" w:ascii="楷体_GB2312" w:hAnsi="楷体_GB2312" w:eastAsia="楷体_GB2312" w:cs="楷体_GB2312"/>
          <w:b/>
          <w:bCs/>
          <w:color w:val="000000"/>
          <w:sz w:val="44"/>
          <w:szCs w:val="44"/>
          <w:lang w:val="en-US" w:eastAsia="zh-CN"/>
        </w:rPr>
        <w:t>4</w:t>
      </w:r>
      <w:r>
        <w:rPr>
          <w:rFonts w:hint="eastAsia" w:ascii="楷体_GB2312" w:hAnsi="楷体_GB2312" w:eastAsia="楷体_GB2312" w:cs="楷体_GB2312"/>
          <w:b/>
          <w:bCs/>
          <w:color w:val="000000"/>
          <w:sz w:val="44"/>
          <w:szCs w:val="44"/>
        </w:rPr>
        <w:t>月</w:t>
      </w:r>
    </w:p>
    <w:p>
      <w:pPr>
        <w:jc w:val="center"/>
        <w:rPr>
          <w:rFonts w:cs="黑体"/>
          <w:color w:val="000000"/>
          <w:sz w:val="44"/>
          <w:szCs w:val="44"/>
        </w:rPr>
      </w:pPr>
    </w:p>
    <w:p>
      <w:pPr>
        <w:rPr>
          <w:rFonts w:cs="黑体"/>
          <w:color w:val="000000"/>
          <w:sz w:val="44"/>
          <w:szCs w:val="44"/>
        </w:rPr>
      </w:pPr>
    </w:p>
    <w:p>
      <w:pPr>
        <w:pStyle w:val="12"/>
        <w:rPr>
          <w:rFonts w:hint="eastAsia"/>
        </w:rPr>
      </w:pPr>
    </w:p>
    <w:p>
      <w:pPr>
        <w:pStyle w:val="12"/>
        <w:rPr>
          <w:rFonts w:hint="eastAsia"/>
        </w:rPr>
      </w:pPr>
    </w:p>
    <w:p>
      <w:pPr>
        <w:pStyle w:val="12"/>
        <w:rPr>
          <w:rFonts w:hint="eastAsia"/>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hint="eastAsia" w:ascii="仿宋_GB2312" w:hAnsi="仿宋_GB2312" w:eastAsia="仿宋_GB2312" w:cs="仿宋_GB2312"/>
          <w:color w:val="000000"/>
          <w:sz w:val="28"/>
          <w:szCs w:val="28"/>
          <w:u w:val="single"/>
        </w:rPr>
        <w:t>202</w:t>
      </w:r>
      <w:r>
        <w:rPr>
          <w:rFonts w:hint="eastAsia" w:ascii="仿宋_GB2312" w:hAnsi="仿宋_GB2312" w:eastAsia="仿宋_GB2312" w:cs="仿宋_GB2312"/>
          <w:color w:val="000000"/>
          <w:sz w:val="28"/>
          <w:szCs w:val="28"/>
          <w:u w:val="single"/>
          <w:lang w:val="en-US" w:eastAsia="zh-CN"/>
        </w:rPr>
        <w:t>3</w:t>
      </w:r>
      <w:r>
        <w:rPr>
          <w:rFonts w:hint="eastAsia" w:ascii="仿宋_GB2312" w:hAnsi="仿宋_GB2312" w:eastAsia="仿宋_GB2312" w:cs="仿宋_GB2312"/>
          <w:color w:val="000000"/>
          <w:sz w:val="28"/>
          <w:szCs w:val="28"/>
          <w:u w:val="single"/>
        </w:rPr>
        <w:t>年教职工传统节日福利项目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p>
      <w:pPr>
        <w:spacing w:line="560" w:lineRule="exact"/>
        <w:ind w:firstLine="562"/>
        <w:rPr>
          <w:rFonts w:hint="default" w:ascii="仿宋_GB2312" w:hAnsi="仿宋_GB2312" w:eastAsia="仿宋_GB2312" w:cs="仿宋_GB2312"/>
          <w:color w:val="000000"/>
          <w:kern w:val="1"/>
          <w:sz w:val="28"/>
          <w:szCs w:val="28"/>
          <w:lang w:val="en-US" w:eastAsia="zh-CN" w:bidi="ar-SA"/>
        </w:rPr>
      </w:pPr>
      <w:r>
        <w:rPr>
          <w:rFonts w:hint="eastAsia" w:ascii="仿宋_GB2312" w:hAnsi="仿宋_GB2312" w:eastAsia="仿宋_GB2312" w:cs="仿宋_GB2312"/>
          <w:color w:val="000000"/>
          <w:kern w:val="1"/>
          <w:sz w:val="28"/>
          <w:szCs w:val="28"/>
          <w:lang w:val="en-US" w:eastAsia="zh-CN" w:bidi="ar-SA"/>
        </w:rPr>
        <w:t>江苏省盐城技师学院拟对教职工2023年传统福利进行招标，具体要求如下：</w:t>
      </w:r>
    </w:p>
    <w:tbl>
      <w:tblPr>
        <w:tblStyle w:val="14"/>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543"/>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snapToGrid w:val="0"/>
              <w:spacing w:line="5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val="en-US" w:eastAsia="zh-CN"/>
              </w:rPr>
              <w:t>序号</w:t>
            </w:r>
          </w:p>
        </w:tc>
        <w:tc>
          <w:tcPr>
            <w:tcW w:w="3543"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spacing w:line="500" w:lineRule="exact"/>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1</w:t>
            </w:r>
          </w:p>
        </w:tc>
        <w:tc>
          <w:tcPr>
            <w:tcW w:w="3543"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2023</w:t>
            </w:r>
            <w:r>
              <w:rPr>
                <w:rFonts w:hint="eastAsia" w:ascii="仿宋_GB2312" w:hAnsi="仿宋_GB2312" w:eastAsia="仿宋_GB2312" w:cs="仿宋_GB2312"/>
                <w:b/>
                <w:bCs/>
                <w:color w:val="000000"/>
                <w:sz w:val="24"/>
                <w:szCs w:val="24"/>
              </w:rPr>
              <w:t>年端午节福利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结算价格400元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839</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spacing w:line="500" w:lineRule="exact"/>
              <w:jc w:val="center"/>
              <w:rPr>
                <w:rFonts w:ascii="仿宋_GB2312" w:hAnsi="仿宋_GB2312" w:eastAsia="仿宋_GB2312" w:cs="仿宋_GB2312"/>
                <w:b/>
                <w:bCs/>
                <w:color w:val="000000"/>
                <w:sz w:val="24"/>
                <w:szCs w:val="24"/>
              </w:rPr>
            </w:pPr>
          </w:p>
        </w:tc>
        <w:tc>
          <w:tcPr>
            <w:tcW w:w="3543"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2023</w:t>
            </w:r>
            <w:r>
              <w:rPr>
                <w:rFonts w:hint="eastAsia" w:ascii="仿宋_GB2312" w:hAnsi="仿宋_GB2312" w:eastAsia="仿宋_GB2312" w:cs="仿宋_GB2312"/>
                <w:b/>
                <w:bCs/>
                <w:color w:val="000000"/>
                <w:sz w:val="24"/>
                <w:szCs w:val="24"/>
              </w:rPr>
              <w:t>年中秋节福利：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结算价格400元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eastAsia="zh-CN"/>
              </w:rPr>
              <w:t>839</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82" w:firstLineChars="15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1、本项目分为</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个标段，</w:t>
      </w:r>
      <w:r>
        <w:rPr>
          <w:rFonts w:hint="eastAsia" w:ascii="仿宋_GB2312" w:hAnsi="仿宋_GB2312" w:eastAsia="仿宋_GB2312" w:cs="仿宋_GB2312"/>
          <w:b/>
          <w:bCs/>
          <w:color w:val="000000"/>
          <w:sz w:val="32"/>
          <w:szCs w:val="32"/>
          <w:lang w:val="en-US" w:eastAsia="zh-CN"/>
        </w:rPr>
        <w:t>需分两次制作提货券</w:t>
      </w:r>
      <w:r>
        <w:rPr>
          <w:rFonts w:hint="eastAsia" w:ascii="仿宋_GB2312" w:hAnsi="仿宋_GB2312" w:eastAsia="仿宋_GB2312" w:cs="仿宋_GB2312"/>
          <w:b/>
          <w:bCs/>
          <w:color w:val="000000"/>
          <w:sz w:val="32"/>
          <w:szCs w:val="32"/>
        </w:rPr>
        <w:t>。</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2、预计</w:t>
      </w:r>
      <w:r>
        <w:rPr>
          <w:rFonts w:hint="eastAsia" w:ascii="仿宋_GB2312" w:hAnsi="仿宋_GB2312" w:eastAsia="仿宋_GB2312" w:cs="仿宋_GB2312"/>
          <w:b/>
          <w:bCs/>
          <w:color w:val="000000"/>
          <w:sz w:val="28"/>
          <w:szCs w:val="28"/>
          <w:lang w:eastAsia="zh-CN"/>
        </w:rPr>
        <w:t>839</w:t>
      </w:r>
      <w:r>
        <w:rPr>
          <w:rFonts w:hint="eastAsia" w:ascii="仿宋_GB2312" w:hAnsi="仿宋_GB2312" w:eastAsia="仿宋_GB2312" w:cs="仿宋_GB2312"/>
          <w:b/>
          <w:bCs/>
          <w:color w:val="000000"/>
          <w:sz w:val="28"/>
          <w:szCs w:val="28"/>
        </w:rPr>
        <w:t>份，按实结算。</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3、投标人提供的提货券面值应该在实际结算价上进行上浮，不接受低于或者等于实际结算价的投标报价。</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4、提货券必须在投标人所有的连锁经营店通用。</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5、本次招标，如有3个单位报名，确定</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名中标候选单位；如有4个及4个以上单位报名，确定3名中标候选单位；由我校教职工按中标报价自由选择，任何一方中标人都不得以实际提货券数量向招标人提出任何异议。</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二、投标人须具备的资格条件（报名和开标时需携带资格条件中要求的复印件加盖公章，原件备查）</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b/>
          <w:bCs/>
          <w:color w:val="000000"/>
          <w:sz w:val="28"/>
          <w:szCs w:val="28"/>
        </w:rPr>
        <w:t>为盐城市区范围内的大型超市，在盐城市区有固定的经营场所</w:t>
      </w:r>
      <w:r>
        <w:rPr>
          <w:rFonts w:hint="eastAsia" w:ascii="仿宋_GB2312" w:hAnsi="仿宋_GB2312" w:eastAsia="仿宋_GB2312" w:cs="仿宋_GB2312"/>
          <w:color w:val="000000"/>
          <w:sz w:val="28"/>
          <w:szCs w:val="28"/>
        </w:rPr>
        <w:t>，有适应项目需要的专业技术人员，具备相关项目的供货能力和售后服务能力，具有良好的商业信誉和财务状况。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b/>
          <w:bCs/>
          <w:color w:val="000000"/>
          <w:sz w:val="32"/>
          <w:szCs w:val="32"/>
        </w:rPr>
        <w:t>（原件备查）</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．预算金额：</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00元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w:t>
      </w:r>
      <w:r>
        <w:rPr>
          <w:rFonts w:hint="eastAsia" w:ascii="仿宋_GB2312" w:hAnsi="仿宋_GB2312" w:eastAsia="仿宋_GB2312" w:cs="仿宋_GB2312"/>
          <w:b/>
          <w:bCs/>
          <w:color w:val="000000"/>
          <w:sz w:val="28"/>
          <w:szCs w:val="28"/>
          <w:u w:val="single"/>
          <w:lang w:eastAsia="zh-CN"/>
        </w:rPr>
        <w:t>（</w:t>
      </w:r>
      <w:r>
        <w:rPr>
          <w:rFonts w:hint="eastAsia" w:ascii="仿宋_GB2312" w:hAnsi="仿宋_GB2312" w:eastAsia="仿宋_GB2312" w:cs="仿宋_GB2312"/>
          <w:b/>
          <w:bCs/>
          <w:color w:val="000000"/>
          <w:sz w:val="28"/>
          <w:szCs w:val="28"/>
          <w:u w:val="single"/>
          <w:lang w:val="en-US" w:eastAsia="zh-CN"/>
        </w:rPr>
        <w:t>分两次平均发放</w:t>
      </w:r>
      <w:r>
        <w:rPr>
          <w:rFonts w:hint="eastAsia" w:ascii="仿宋_GB2312" w:hAnsi="仿宋_GB2312" w:eastAsia="仿宋_GB2312" w:cs="仿宋_GB2312"/>
          <w:b/>
          <w:bCs/>
          <w:color w:val="000000"/>
          <w:sz w:val="28"/>
          <w:szCs w:val="28"/>
          <w:u w:val="single"/>
          <w:lang w:eastAsia="zh-CN"/>
        </w:rPr>
        <w:t>）</w:t>
      </w:r>
      <w:r>
        <w:rPr>
          <w:rFonts w:hint="eastAsia" w:ascii="仿宋_GB2312" w:hAnsi="仿宋_GB2312" w:eastAsia="仿宋_GB2312" w:cs="仿宋_GB2312"/>
          <w:b/>
          <w:bCs/>
          <w:color w:val="000000"/>
          <w:sz w:val="28"/>
          <w:szCs w:val="28"/>
          <w:u w:val="single"/>
        </w:rPr>
        <w:t>。</w:t>
      </w:r>
    </w:p>
    <w:p>
      <w:pPr>
        <w:spacing w:line="560" w:lineRule="exact"/>
        <w:ind w:firstLine="562" w:firstLineChars="200"/>
        <w:rPr>
          <w:rFonts w:ascii="黑体" w:hAnsi="黑体" w:eastAsia="黑体"/>
          <w:b/>
          <w:bCs/>
          <w:sz w:val="28"/>
          <w:szCs w:val="28"/>
        </w:rPr>
      </w:pPr>
      <w:r>
        <w:rPr>
          <w:rFonts w:hint="eastAsia" w:ascii="黑体" w:hAnsi="黑体" w:eastAsia="黑体" w:cs="黑体"/>
          <w:b/>
          <w:bCs/>
          <w:sz w:val="28"/>
          <w:szCs w:val="28"/>
        </w:rPr>
        <w:t>四、获取招标文件、投标文件递交截止时间、开标时间及地点</w:t>
      </w:r>
    </w:p>
    <w:p>
      <w:pPr>
        <w:shd w:val="clear" w:color="auto" w:fill="FFFFFF"/>
        <w:spacing w:line="560" w:lineRule="exact"/>
        <w:ind w:firstLine="560" w:firstLineChars="200"/>
        <w:rPr>
          <w:rFonts w:ascii="仿宋_GB2312" w:hAnsi="仿宋_GB2312" w:eastAsia="仿宋_GB2312"/>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获取招标文件时间：</w:t>
      </w:r>
      <w:r>
        <w:rPr>
          <w:rFonts w:hint="eastAsia" w:ascii="仿宋_GB2312" w:hAnsi="仿宋_GB2312" w:eastAsia="仿宋_GB2312" w:cs="仿宋_GB2312"/>
          <w:b/>
          <w:bCs/>
          <w:color w:val="000000"/>
          <w:sz w:val="28"/>
          <w:szCs w:val="28"/>
          <w:u w:val="single"/>
          <w:lang w:eastAsia="zh-CN"/>
        </w:rPr>
        <w:t>2023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lang w:eastAsia="zh-CN"/>
        </w:rPr>
        <w:t>2023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lang w:eastAsia="zh-CN"/>
        </w:rPr>
        <w:t>2023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adjustRightInd w:val="0"/>
        <w:snapToGrid w:val="0"/>
        <w:spacing w:line="500" w:lineRule="exact"/>
        <w:ind w:firstLine="560" w:firstLineChars="200"/>
        <w:rPr>
          <w:rFonts w:ascii="仿宋_GB2312" w:hAnsi="??" w:eastAsia="仿宋_GB2312"/>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为了提高招标采购效率，节约社会交易成本及时间，希望购买了招标文件，而又决定不参加本次招标的投标人，请在投标截止时间前2天书面或电话告知我们（联系人：杨老师，办公电话：</w:t>
      </w:r>
      <w:r>
        <w:rPr>
          <w:rFonts w:ascii="仿宋_GB2312" w:hAnsi="仿宋_GB2312" w:eastAsia="仿宋_GB2312" w:cs="仿宋_GB2312"/>
          <w:color w:val="000000"/>
          <w:sz w:val="28"/>
          <w:szCs w:val="28"/>
        </w:rPr>
        <w:t>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pacing w:before="156" w:after="156" w:line="480" w:lineRule="exact"/>
        <w:jc w:val="center"/>
        <w:rPr>
          <w:rFonts w:ascii="仿宋_GB2312" w:hAnsi="仿宋_GB2312" w:eastAsia="仿宋_GB2312" w:cs="仿宋_GB2312"/>
          <w:color w:val="000000"/>
          <w:sz w:val="44"/>
        </w:rPr>
      </w:pPr>
    </w:p>
    <w:p>
      <w:pPr>
        <w:pStyle w:val="13"/>
        <w:ind w:firstLine="0"/>
        <w:rPr>
          <w:rFonts w:ascii="仿宋_GB2312" w:hAnsi="仿宋_GB2312" w:eastAsia="仿宋_GB2312" w:cs="仿宋_GB2312"/>
          <w:color w:val="000000"/>
          <w:sz w:val="44"/>
        </w:rPr>
      </w:pPr>
    </w:p>
    <w:p>
      <w:pPr>
        <w:pStyle w:val="13"/>
        <w:ind w:firstLine="0"/>
        <w:rPr>
          <w:rFonts w:ascii="仿宋_GB2312" w:hAnsi="仿宋_GB2312" w:eastAsia="仿宋_GB2312" w:cs="仿宋_GB2312"/>
          <w:color w:val="000000"/>
          <w:sz w:val="44"/>
        </w:rPr>
      </w:pPr>
    </w:p>
    <w:p>
      <w:pPr>
        <w:rPr>
          <w:rFonts w:ascii="仿宋_GB2312" w:hAnsi="仿宋_GB2312" w:eastAsia="仿宋_GB2312" w:cs="仿宋_GB2312"/>
          <w:color w:val="000000"/>
          <w:sz w:val="44"/>
        </w:rPr>
      </w:pPr>
    </w:p>
    <w:p>
      <w:pPr>
        <w:pStyle w:val="2"/>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pStyle w:val="5"/>
        <w:rPr>
          <w:rFonts w:ascii="仿宋_GB2312" w:hAnsi="仿宋_GB2312" w:eastAsia="仿宋_GB2312" w:cs="仿宋_GB2312"/>
          <w:color w:val="000000"/>
          <w:sz w:val="44"/>
        </w:rPr>
      </w:pPr>
    </w:p>
    <w:p>
      <w:pPr>
        <w:spacing w:line="520" w:lineRule="exact"/>
        <w:rPr>
          <w:rFonts w:hint="eastAsia" w:ascii="仿宋_GB2312" w:hAnsi="仿宋_GB2312" w:eastAsia="PMingLiU" w:cs="仿宋_GB2312"/>
          <w:color w:val="000000"/>
          <w:sz w:val="44"/>
          <w:szCs w:val="44"/>
        </w:rPr>
      </w:pPr>
      <w:bookmarkStart w:id="0" w:name="_GoBack"/>
      <w:bookmarkEnd w:id="0"/>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3073" o:spt="1" style="position:absolute;left:0pt;margin-top:0pt;height:11.65pt;width:72.2pt;mso-position-horizontal:center;mso-position-horizontal-relative:margin;mso-wrap-style:none;z-index:251659264;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doNotCompress"/>
  <w:noLineBreaksAfter w:lang="zh-CN" w:val="$([{£¥·‘“〈《「『【〔〖〝﹙﹛﹝＄（．［｛￡￥"/>
  <w:noLineBreaksBefore w:lang="zh-CN" w:val="!%),.:;&gt;?]}¢¨°·ˇˉ―‖’”…‰′″›℃∶、。〃〉》」』】〕〗〞︶︺︾﹀﹄﹚﹜﹞！＂％＇），．：；？］｀｜｝～￠"/>
  <w:hdrShapeDefaults>
    <o:shapelayout v:ext="edit">
      <o:idmap v:ext="edit" data="1,3"/>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00237AB7"/>
    <w:rsid w:val="000400D4"/>
    <w:rsid w:val="000D4FBE"/>
    <w:rsid w:val="00183D74"/>
    <w:rsid w:val="00197225"/>
    <w:rsid w:val="001C6241"/>
    <w:rsid w:val="002226FD"/>
    <w:rsid w:val="00237AB7"/>
    <w:rsid w:val="0026433D"/>
    <w:rsid w:val="0027713B"/>
    <w:rsid w:val="002E4DDB"/>
    <w:rsid w:val="003422B5"/>
    <w:rsid w:val="00342968"/>
    <w:rsid w:val="003471E1"/>
    <w:rsid w:val="003F53DD"/>
    <w:rsid w:val="004608B5"/>
    <w:rsid w:val="004B708F"/>
    <w:rsid w:val="004E6189"/>
    <w:rsid w:val="0051568D"/>
    <w:rsid w:val="00570302"/>
    <w:rsid w:val="00644AC4"/>
    <w:rsid w:val="008247AA"/>
    <w:rsid w:val="00837DE5"/>
    <w:rsid w:val="00847160"/>
    <w:rsid w:val="008701F7"/>
    <w:rsid w:val="00891D12"/>
    <w:rsid w:val="009274D8"/>
    <w:rsid w:val="0095778B"/>
    <w:rsid w:val="00A15DA6"/>
    <w:rsid w:val="00AC2C5A"/>
    <w:rsid w:val="00AD795F"/>
    <w:rsid w:val="00B351C8"/>
    <w:rsid w:val="00C709A0"/>
    <w:rsid w:val="00DA1D4A"/>
    <w:rsid w:val="00DA4ADA"/>
    <w:rsid w:val="00DA6F0C"/>
    <w:rsid w:val="00E02CA9"/>
    <w:rsid w:val="00E275AF"/>
    <w:rsid w:val="00E61982"/>
    <w:rsid w:val="00F51C72"/>
    <w:rsid w:val="00F836DA"/>
    <w:rsid w:val="00FA29A1"/>
    <w:rsid w:val="00FA7B5A"/>
    <w:rsid w:val="00FD2BEA"/>
    <w:rsid w:val="02E81DEA"/>
    <w:rsid w:val="059F660D"/>
    <w:rsid w:val="05DB13A0"/>
    <w:rsid w:val="08090E24"/>
    <w:rsid w:val="09E606EC"/>
    <w:rsid w:val="0CAC4EDB"/>
    <w:rsid w:val="0D547CC7"/>
    <w:rsid w:val="0E4B3DBB"/>
    <w:rsid w:val="0FBC185B"/>
    <w:rsid w:val="14C8570F"/>
    <w:rsid w:val="1CAC149F"/>
    <w:rsid w:val="1DAA2B22"/>
    <w:rsid w:val="1DEF2F04"/>
    <w:rsid w:val="1DFF46D8"/>
    <w:rsid w:val="1E77C1FE"/>
    <w:rsid w:val="23281934"/>
    <w:rsid w:val="245F106A"/>
    <w:rsid w:val="24D44BFB"/>
    <w:rsid w:val="277B72AA"/>
    <w:rsid w:val="28C47F40"/>
    <w:rsid w:val="299A470B"/>
    <w:rsid w:val="2B72483C"/>
    <w:rsid w:val="2C532E62"/>
    <w:rsid w:val="2CEB4101"/>
    <w:rsid w:val="2E732548"/>
    <w:rsid w:val="2EA07972"/>
    <w:rsid w:val="32A5159B"/>
    <w:rsid w:val="35B833C6"/>
    <w:rsid w:val="36595244"/>
    <w:rsid w:val="3B9C7B02"/>
    <w:rsid w:val="3BE62A6C"/>
    <w:rsid w:val="3C7F45F6"/>
    <w:rsid w:val="3D170626"/>
    <w:rsid w:val="3DFF604C"/>
    <w:rsid w:val="3E6316D2"/>
    <w:rsid w:val="3E852E61"/>
    <w:rsid w:val="3FBF84B3"/>
    <w:rsid w:val="3FBF9F63"/>
    <w:rsid w:val="3FF78EFB"/>
    <w:rsid w:val="41865A3F"/>
    <w:rsid w:val="438E4917"/>
    <w:rsid w:val="43B628D4"/>
    <w:rsid w:val="440663B0"/>
    <w:rsid w:val="44851921"/>
    <w:rsid w:val="462614F0"/>
    <w:rsid w:val="48764FF1"/>
    <w:rsid w:val="49EC4F47"/>
    <w:rsid w:val="4ADF3327"/>
    <w:rsid w:val="4D9C1289"/>
    <w:rsid w:val="4E022A9E"/>
    <w:rsid w:val="4EB94FF9"/>
    <w:rsid w:val="4F5874C2"/>
    <w:rsid w:val="50B869A9"/>
    <w:rsid w:val="52381EAF"/>
    <w:rsid w:val="52387BD1"/>
    <w:rsid w:val="52412BE0"/>
    <w:rsid w:val="54BA4A9B"/>
    <w:rsid w:val="57780D39"/>
    <w:rsid w:val="5B533C5D"/>
    <w:rsid w:val="5B730290"/>
    <w:rsid w:val="5BFFA5F3"/>
    <w:rsid w:val="5DF3DCB2"/>
    <w:rsid w:val="5FFDE51E"/>
    <w:rsid w:val="5FFE2FAE"/>
    <w:rsid w:val="608164C6"/>
    <w:rsid w:val="64A22CC1"/>
    <w:rsid w:val="65CFC77F"/>
    <w:rsid w:val="68F16C18"/>
    <w:rsid w:val="696D1EDE"/>
    <w:rsid w:val="6AC33D2E"/>
    <w:rsid w:val="6B1E7B93"/>
    <w:rsid w:val="6BBB50E5"/>
    <w:rsid w:val="6BC767B1"/>
    <w:rsid w:val="6CB81EF4"/>
    <w:rsid w:val="6DB927C7"/>
    <w:rsid w:val="6E7D614B"/>
    <w:rsid w:val="6F6E7A1A"/>
    <w:rsid w:val="708E1A40"/>
    <w:rsid w:val="712A0B3A"/>
    <w:rsid w:val="716C1FBA"/>
    <w:rsid w:val="71994CE6"/>
    <w:rsid w:val="71CD1979"/>
    <w:rsid w:val="72301820"/>
    <w:rsid w:val="753A17E0"/>
    <w:rsid w:val="75A46398"/>
    <w:rsid w:val="76AF01D4"/>
    <w:rsid w:val="770A3B4D"/>
    <w:rsid w:val="777F68F2"/>
    <w:rsid w:val="787F2404"/>
    <w:rsid w:val="79D01E1A"/>
    <w:rsid w:val="7A1802E7"/>
    <w:rsid w:val="7BDBFC21"/>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6">
    <w:name w:val="heading 1"/>
    <w:basedOn w:val="1"/>
    <w:next w:val="1"/>
    <w:link w:val="17"/>
    <w:qFormat/>
    <w:uiPriority w:val="99"/>
    <w:pPr>
      <w:keepNext/>
      <w:keepLines/>
      <w:spacing w:before="340" w:after="330" w:line="360" w:lineRule="auto"/>
      <w:jc w:val="center"/>
      <w:outlineLvl w:val="0"/>
    </w:pPr>
    <w:rPr>
      <w:rFonts w:ascii="Times New Roman" w:hAnsi="Times New Roman"/>
      <w:b/>
      <w:bCs/>
      <w:sz w:val="44"/>
      <w:szCs w:val="44"/>
    </w:rPr>
  </w:style>
  <w:style w:type="paragraph" w:styleId="7">
    <w:name w:val="heading 2"/>
    <w:basedOn w:val="1"/>
    <w:next w:val="1"/>
    <w:link w:val="18"/>
    <w:qFormat/>
    <w:uiPriority w:val="99"/>
    <w:pPr>
      <w:keepNext/>
      <w:keepLines/>
      <w:spacing w:before="260" w:after="260" w:line="415"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szCs w:val="24"/>
    </w:rPr>
  </w:style>
  <w:style w:type="paragraph" w:styleId="3">
    <w:name w:val="Body Text Indent"/>
    <w:basedOn w:val="1"/>
    <w:next w:val="4"/>
    <w:link w:val="21"/>
    <w:qFormat/>
    <w:uiPriority w:val="99"/>
    <w:pPr>
      <w:ind w:left="-105" w:firstLine="232"/>
    </w:pPr>
    <w:rPr>
      <w:rFonts w:eastAsia="仿宋_GB2312"/>
      <w:sz w:val="32"/>
    </w:rPr>
  </w:style>
  <w:style w:type="paragraph" w:styleId="4">
    <w:name w:val="envelope return"/>
    <w:basedOn w:val="1"/>
    <w:qFormat/>
    <w:uiPriority w:val="0"/>
    <w:pPr>
      <w:snapToGrid w:val="0"/>
    </w:pPr>
    <w:rPr>
      <w:rFonts w:ascii="Arial" w:hAnsi="Arial" w:cs="Arial"/>
    </w:rPr>
  </w:style>
  <w:style w:type="paragraph" w:styleId="5">
    <w:name w:val="Normal Indent"/>
    <w:basedOn w:val="1"/>
    <w:qFormat/>
    <w:uiPriority w:val="0"/>
    <w:pPr>
      <w:ind w:firstLine="420"/>
    </w:pPr>
    <w:rPr>
      <w:szCs w:val="20"/>
    </w:rPr>
  </w:style>
  <w:style w:type="paragraph" w:styleId="8">
    <w:name w:val="Body Text"/>
    <w:basedOn w:val="1"/>
    <w:next w:val="1"/>
    <w:link w:val="19"/>
    <w:qFormat/>
    <w:uiPriority w:val="99"/>
    <w:pPr>
      <w:spacing w:after="120"/>
    </w:p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styleId="10">
    <w:name w:val="footer"/>
    <w:basedOn w:val="1"/>
    <w:link w:val="22"/>
    <w:qFormat/>
    <w:uiPriority w:val="99"/>
    <w:pPr>
      <w:jc w:val="left"/>
    </w:pPr>
    <w:rPr>
      <w:sz w:val="18"/>
      <w:szCs w:val="18"/>
    </w:rPr>
  </w:style>
  <w:style w:type="paragraph" w:styleId="11">
    <w:name w:val="header"/>
    <w:basedOn w:val="1"/>
    <w:link w:val="23"/>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paragraph" w:styleId="12">
    <w:name w:val="Message Header"/>
    <w:basedOn w:val="1"/>
    <w:qFormat/>
    <w:uiPriority w:val="0"/>
    <w:pPr>
      <w:adjustRightInd w:val="0"/>
    </w:pPr>
    <w:rPr>
      <w:rFonts w:ascii="仿宋_GB2312" w:hAnsi="仿宋_GB2312" w:eastAsia="等线 Light" w:cs="Arial"/>
      <w:kern w:val="2"/>
    </w:rPr>
  </w:style>
  <w:style w:type="paragraph" w:styleId="13">
    <w:name w:val="Body Text First Indent"/>
    <w:basedOn w:val="8"/>
    <w:next w:val="1"/>
    <w:link w:val="20"/>
    <w:qFormat/>
    <w:uiPriority w:val="99"/>
    <w:pPr>
      <w:spacing w:after="0"/>
      <w:ind w:firstLine="420"/>
    </w:pPr>
  </w:style>
  <w:style w:type="character" w:styleId="16">
    <w:name w:val="Hyperlink"/>
    <w:basedOn w:val="15"/>
    <w:qFormat/>
    <w:uiPriority w:val="99"/>
    <w:rPr>
      <w:rFonts w:cs="Times New Roman"/>
      <w:color w:val="006699"/>
      <w:kern w:val="0"/>
      <w:sz w:val="20"/>
      <w:u w:val="single"/>
      <w:lang w:val="en-US" w:eastAsia="zh-CN"/>
    </w:rPr>
  </w:style>
  <w:style w:type="character" w:customStyle="1" w:styleId="17">
    <w:name w:val="标题 1 字符"/>
    <w:basedOn w:val="15"/>
    <w:link w:val="6"/>
    <w:qFormat/>
    <w:uiPriority w:val="9"/>
    <w:rPr>
      <w:b/>
      <w:bCs/>
      <w:kern w:val="44"/>
      <w:sz w:val="44"/>
      <w:szCs w:val="44"/>
    </w:rPr>
  </w:style>
  <w:style w:type="character" w:customStyle="1" w:styleId="18">
    <w:name w:val="标题 2 字符"/>
    <w:basedOn w:val="15"/>
    <w:link w:val="7"/>
    <w:semiHidden/>
    <w:qFormat/>
    <w:uiPriority w:val="9"/>
    <w:rPr>
      <w:rFonts w:ascii="Cambria" w:hAnsi="Cambria" w:eastAsia="宋体" w:cs="Times New Roman"/>
      <w:b/>
      <w:bCs/>
      <w:kern w:val="1"/>
      <w:sz w:val="32"/>
      <w:szCs w:val="32"/>
    </w:rPr>
  </w:style>
  <w:style w:type="character" w:customStyle="1" w:styleId="19">
    <w:name w:val="正文文本 字符"/>
    <w:basedOn w:val="15"/>
    <w:link w:val="8"/>
    <w:semiHidden/>
    <w:qFormat/>
    <w:uiPriority w:val="99"/>
    <w:rPr>
      <w:kern w:val="1"/>
    </w:rPr>
  </w:style>
  <w:style w:type="character" w:customStyle="1" w:styleId="20">
    <w:name w:val="正文文本首行缩进 字符"/>
    <w:basedOn w:val="19"/>
    <w:link w:val="13"/>
    <w:semiHidden/>
    <w:qFormat/>
    <w:uiPriority w:val="99"/>
    <w:rPr>
      <w:kern w:val="1"/>
    </w:rPr>
  </w:style>
  <w:style w:type="character" w:customStyle="1" w:styleId="21">
    <w:name w:val="正文文本缩进 字符"/>
    <w:basedOn w:val="15"/>
    <w:link w:val="3"/>
    <w:semiHidden/>
    <w:qFormat/>
    <w:uiPriority w:val="99"/>
    <w:rPr>
      <w:kern w:val="1"/>
    </w:rPr>
  </w:style>
  <w:style w:type="character" w:customStyle="1" w:styleId="22">
    <w:name w:val="页脚 字符"/>
    <w:basedOn w:val="15"/>
    <w:link w:val="10"/>
    <w:semiHidden/>
    <w:qFormat/>
    <w:uiPriority w:val="99"/>
    <w:rPr>
      <w:kern w:val="1"/>
      <w:sz w:val="18"/>
      <w:szCs w:val="18"/>
    </w:rPr>
  </w:style>
  <w:style w:type="character" w:customStyle="1" w:styleId="23">
    <w:name w:val="页眉 字符"/>
    <w:basedOn w:val="15"/>
    <w:link w:val="11"/>
    <w:semiHidden/>
    <w:qFormat/>
    <w:uiPriority w:val="99"/>
    <w:rPr>
      <w:kern w:val="1"/>
      <w:sz w:val="18"/>
      <w:szCs w:val="18"/>
    </w:rPr>
  </w:style>
  <w:style w:type="character" w:customStyle="1" w:styleId="24">
    <w:name w:val="正文文本字符"/>
    <w:qFormat/>
    <w:uiPriority w:val="99"/>
    <w:rPr>
      <w:kern w:val="1"/>
      <w:sz w:val="22"/>
    </w:rPr>
  </w:style>
  <w:style w:type="character" w:customStyle="1" w:styleId="25">
    <w:name w:val="标题 2字符"/>
    <w:qFormat/>
    <w:uiPriority w:val="99"/>
    <w:rPr>
      <w:rFonts w:ascii="Arial" w:hAnsi="Arial" w:eastAsia="黑体"/>
      <w:b/>
      <w:kern w:val="1"/>
      <w:sz w:val="32"/>
    </w:rPr>
  </w:style>
  <w:style w:type="character" w:customStyle="1" w:styleId="26">
    <w:name w:val="页脚字符"/>
    <w:qFormat/>
    <w:uiPriority w:val="99"/>
    <w:rPr>
      <w:rFonts w:ascii="Calibri" w:hAnsi="Calibri"/>
      <w:kern w:val="1"/>
      <w:sz w:val="18"/>
    </w:rPr>
  </w:style>
  <w:style w:type="character" w:customStyle="1" w:styleId="27">
    <w:name w:val="正文首行缩进字符"/>
    <w:qFormat/>
    <w:uiPriority w:val="99"/>
    <w:rPr>
      <w:kern w:val="1"/>
      <w:sz w:val="22"/>
    </w:rPr>
  </w:style>
  <w:style w:type="character" w:customStyle="1" w:styleId="28">
    <w:name w:val="页眉字符"/>
    <w:qFormat/>
    <w:uiPriority w:val="99"/>
    <w:rPr>
      <w:rFonts w:ascii="Calibri" w:hAnsi="Calibri"/>
      <w:kern w:val="1"/>
      <w:sz w:val="18"/>
    </w:rPr>
  </w:style>
  <w:style w:type="paragraph" w:customStyle="1" w:styleId="29">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30">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31">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9943F-CD62-4D27-8017-A1110C0B7A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6647</Words>
  <Characters>6898</Characters>
  <Lines>59</Lines>
  <Paragraphs>16</Paragraphs>
  <TotalTime>2</TotalTime>
  <ScaleCrop>false</ScaleCrop>
  <LinksUpToDate>false</LinksUpToDate>
  <CharactersWithSpaces>7076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有</cp:lastModifiedBy>
  <cp:lastPrinted>2023-04-12T03:54:00Z</cp:lastPrinted>
  <dcterms:modified xsi:type="dcterms:W3CDTF">2023-04-12T08:37:28Z</dcterms:modified>
  <dc:title>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4768C2F2A95F47E3B9B0A48C4112FD78_12</vt:lpwstr>
  </property>
</Properties>
</file>